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820" w:line="680" w:lineRule="exact"/>
        <w:ind w:firstLine="1200"/>
        <w:jc w:val="left"/>
      </w:pPr>
      <w:r>
        <w:rPr>
          <w:rFonts w:hint="eastAsia" w:ascii="宋体" w:hAnsi="宋体" w:eastAsia="宋体"/>
          <w:color w:val="000000"/>
          <w:sz w:val="46"/>
        </w:rPr>
        <w:t>忻州市</w:t>
      </w:r>
      <w:r>
        <w:rPr>
          <w:rFonts w:hint="eastAsia" w:ascii="宋体" w:hAnsi="宋体" w:eastAsia="宋体"/>
          <w:color w:val="000000"/>
          <w:sz w:val="46"/>
          <w:lang w:eastAsia="zh-CN"/>
        </w:rPr>
        <w:t>交通运输</w:t>
      </w:r>
      <w:r>
        <w:rPr>
          <w:rFonts w:hint="eastAsia" w:ascii="宋体" w:hAnsi="宋体" w:eastAsia="宋体"/>
          <w:color w:val="000000"/>
          <w:sz w:val="46"/>
        </w:rPr>
        <w:t>局2021年度</w:t>
      </w:r>
      <w:r>
        <w:rPr>
          <w:rFonts w:hint="eastAsia" w:ascii="宋体" w:hAnsi="宋体" w:eastAsia="宋体"/>
          <w:color w:val="000000"/>
          <w:sz w:val="46"/>
          <w:lang w:val="en-US" w:eastAsia="zh-CN"/>
        </w:rPr>
        <w:t>单位</w:t>
      </w:r>
      <w:r>
        <w:rPr>
          <w:rFonts w:hint="eastAsia" w:ascii="宋体" w:hAnsi="宋体" w:eastAsia="宋体"/>
          <w:color w:val="000000"/>
          <w:sz w:val="46"/>
        </w:rPr>
        <w:t>预算</w:t>
      </w:r>
      <w:bookmarkStart w:id="12" w:name="_GoBack"/>
      <w:bookmarkEnd w:id="12"/>
    </w:p>
    <w:p>
      <w:pPr>
        <w:spacing w:line="1" w:lineRule="exact"/>
      </w:pPr>
    </w:p>
    <w:sdt>
      <w:sdtPr>
        <w:id w:val="147479048"/>
        <w15:color w:val="DBDBDB"/>
        <w:docPartObj>
          <w:docPartGallery w:val="Table of Contents"/>
          <w:docPartUnique/>
        </w:docPartObj>
      </w:sdtPr>
      <w:sdtEndPr>
        <w:rPr>
          <w:rFonts w:hint="eastAsia" w:ascii="宋体" w:hAnsi="宋体" w:eastAsia="宋体" w:cstheme="minorBidi"/>
          <w:b/>
          <w:color w:val="000000"/>
          <w:sz w:val="21"/>
          <w:szCs w:val="22"/>
        </w:rPr>
      </w:sdtEndPr>
      <w:sdtContent>
        <w:p>
          <w:pPr>
            <w:pStyle w:val="2"/>
            <w:bidi w:val="0"/>
            <w:jc w:val="center"/>
            <w:rPr>
              <w:rFonts w:hint="eastAsia"/>
            </w:rPr>
          </w:pPr>
          <w:r>
            <w:rPr>
              <w:rFonts w:hint="eastAsia"/>
            </w:rPr>
            <w:t>目</w:t>
          </w:r>
          <w:r>
            <w:rPr>
              <w:rFonts w:hint="eastAsia"/>
              <w:lang w:val="en-US" w:eastAsia="zh-CN"/>
            </w:rPr>
            <w:t xml:space="preserve">  </w:t>
          </w:r>
          <w:r>
            <w:rPr>
              <w:rFonts w:hint="eastAsia"/>
            </w:rPr>
            <w:t>录</w:t>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color w:val="000000"/>
              <w:sz w:val="32"/>
              <w:szCs w:val="32"/>
            </w:rPr>
            <w:fldChar w:fldCharType="begin"/>
          </w:r>
          <w:r>
            <w:rPr>
              <w:rFonts w:hint="eastAsia" w:ascii="宋体" w:hAnsi="宋体" w:eastAsia="宋体" w:cs="宋体"/>
              <w:color w:val="000000"/>
              <w:sz w:val="32"/>
              <w:szCs w:val="32"/>
            </w:rPr>
            <w:instrText xml:space="preserve">TOC \o "1-2" \h \u </w:instrText>
          </w:r>
          <w:r>
            <w:rPr>
              <w:rFonts w:hint="eastAsia" w:ascii="宋体" w:hAnsi="宋体" w:eastAsia="宋体" w:cs="宋体"/>
              <w:color w:val="000000"/>
              <w:sz w:val="32"/>
              <w:szCs w:val="32"/>
            </w:rPr>
            <w:fldChar w:fldCharType="separate"/>
          </w: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_Toc5214 </w:instrText>
          </w:r>
          <w:r>
            <w:rPr>
              <w:rFonts w:hint="eastAsia" w:ascii="宋体" w:hAnsi="宋体" w:eastAsia="宋体" w:cs="宋体"/>
              <w:b/>
              <w:sz w:val="32"/>
              <w:szCs w:val="32"/>
            </w:rPr>
            <w:fldChar w:fldCharType="separate"/>
          </w:r>
          <w:r>
            <w:rPr>
              <w:rFonts w:hint="eastAsia" w:ascii="宋体" w:hAnsi="宋体" w:eastAsia="宋体" w:cs="宋体"/>
              <w:b/>
              <w:sz w:val="32"/>
              <w:szCs w:val="32"/>
              <w:lang w:val="en-US" w:eastAsia="zh-CN"/>
            </w:rPr>
            <w:t xml:space="preserve">第一部分 </w:t>
          </w:r>
          <w:r>
            <w:rPr>
              <w:rFonts w:hint="eastAsia" w:ascii="宋体" w:hAnsi="宋体" w:eastAsia="宋体" w:cs="宋体"/>
              <w:b/>
              <w:sz w:val="32"/>
              <w:szCs w:val="32"/>
            </w:rPr>
            <w:t>忻州市</w:t>
          </w:r>
          <w:r>
            <w:rPr>
              <w:rFonts w:hint="eastAsia" w:ascii="宋体" w:hAnsi="宋体" w:eastAsia="宋体" w:cs="宋体"/>
              <w:b/>
              <w:sz w:val="32"/>
              <w:szCs w:val="32"/>
              <w:lang w:eastAsia="zh-CN"/>
            </w:rPr>
            <w:t>交通运输</w:t>
          </w:r>
          <w:r>
            <w:rPr>
              <w:rFonts w:hint="eastAsia" w:ascii="宋体" w:hAnsi="宋体" w:eastAsia="宋体" w:cs="宋体"/>
              <w:b/>
              <w:sz w:val="32"/>
              <w:szCs w:val="32"/>
            </w:rPr>
            <w:t>局</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_Toc5214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1</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_Toc30686 </w:instrText>
          </w:r>
          <w:r>
            <w:rPr>
              <w:rFonts w:hint="eastAsia" w:ascii="宋体" w:hAnsi="宋体" w:eastAsia="宋体" w:cs="宋体"/>
              <w:sz w:val="32"/>
              <w:szCs w:val="32"/>
            </w:rPr>
            <w:fldChar w:fldCharType="separate"/>
          </w:r>
          <w:r>
            <w:rPr>
              <w:rFonts w:hint="eastAsia" w:ascii="宋体" w:hAnsi="宋体" w:eastAsia="宋体" w:cs="宋体"/>
              <w:sz w:val="32"/>
              <w:szCs w:val="32"/>
            </w:rPr>
            <w:t>一、单位主要职责 </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_Toc30686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_Toc647 </w:instrText>
          </w:r>
          <w:r>
            <w:rPr>
              <w:rFonts w:hint="eastAsia" w:ascii="宋体" w:hAnsi="宋体" w:eastAsia="宋体" w:cs="宋体"/>
              <w:sz w:val="32"/>
              <w:szCs w:val="32"/>
            </w:rPr>
            <w:fldChar w:fldCharType="separate"/>
          </w:r>
          <w:r>
            <w:rPr>
              <w:rFonts w:hint="eastAsia" w:ascii="宋体" w:hAnsi="宋体" w:eastAsia="宋体" w:cs="宋体"/>
              <w:sz w:val="32"/>
              <w:szCs w:val="32"/>
            </w:rPr>
            <w:t>二、</w:t>
          </w:r>
          <w:r>
            <w:rPr>
              <w:rFonts w:hint="eastAsia" w:ascii="宋体" w:hAnsi="宋体" w:eastAsia="宋体" w:cs="宋体"/>
              <w:sz w:val="32"/>
              <w:szCs w:val="32"/>
              <w:lang w:eastAsia="zh-CN"/>
            </w:rPr>
            <w:t>部门预算单位构成</w:t>
          </w:r>
          <w:r>
            <w:rPr>
              <w:rFonts w:hint="eastAsia" w:ascii="宋体" w:hAnsi="宋体" w:eastAsia="宋体" w:cs="宋体"/>
              <w:sz w:val="32"/>
              <w:szCs w:val="32"/>
            </w:rPr>
            <w:t> </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_Toc647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_Toc1341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第二部分 2021年度部门预算公开报表（见附表）</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_Toc1341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4</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_Toc3707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第三部分 2021年度部门预算情况说明</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_Toc3707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5</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_Toc4688 </w:instrText>
          </w:r>
          <w:r>
            <w:rPr>
              <w:rFonts w:hint="eastAsia" w:ascii="宋体" w:hAnsi="宋体" w:eastAsia="宋体" w:cs="宋体"/>
              <w:sz w:val="32"/>
              <w:szCs w:val="32"/>
            </w:rPr>
            <w:fldChar w:fldCharType="separate"/>
          </w:r>
          <w:r>
            <w:rPr>
              <w:rFonts w:hint="eastAsia" w:ascii="宋体" w:hAnsi="宋体" w:eastAsia="宋体" w:cs="宋体"/>
              <w:sz w:val="32"/>
              <w:szCs w:val="32"/>
            </w:rPr>
            <w:t>一、2021年度部门预算收支情况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_Toc4688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_Toc27931 </w:instrText>
          </w:r>
          <w:r>
            <w:rPr>
              <w:rFonts w:hint="eastAsia" w:ascii="宋体" w:hAnsi="宋体" w:eastAsia="宋体" w:cs="宋体"/>
              <w:sz w:val="32"/>
              <w:szCs w:val="32"/>
            </w:rPr>
            <w:fldChar w:fldCharType="separate"/>
          </w:r>
          <w:r>
            <w:rPr>
              <w:rFonts w:hint="eastAsia" w:ascii="宋体" w:hAnsi="宋体" w:eastAsia="宋体" w:cs="宋体"/>
              <w:sz w:val="32"/>
              <w:szCs w:val="32"/>
            </w:rPr>
            <w:t>二、“三公”经费情况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_Toc27931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_Toc6921 </w:instrText>
          </w:r>
          <w:r>
            <w:rPr>
              <w:rFonts w:hint="eastAsia" w:ascii="宋体" w:hAnsi="宋体" w:eastAsia="宋体" w:cs="宋体"/>
              <w:sz w:val="32"/>
              <w:szCs w:val="32"/>
            </w:rPr>
            <w:fldChar w:fldCharType="separate"/>
          </w:r>
          <w:r>
            <w:rPr>
              <w:rFonts w:hint="eastAsia" w:ascii="宋体" w:hAnsi="宋体" w:eastAsia="宋体" w:cs="宋体"/>
              <w:sz w:val="32"/>
              <w:szCs w:val="32"/>
            </w:rPr>
            <w:t>三、机关运行经费情况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_Toc6921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_Toc17085 </w:instrText>
          </w:r>
          <w:r>
            <w:rPr>
              <w:rFonts w:hint="eastAsia" w:ascii="宋体" w:hAnsi="宋体" w:eastAsia="宋体" w:cs="宋体"/>
              <w:sz w:val="32"/>
              <w:szCs w:val="32"/>
            </w:rPr>
            <w:fldChar w:fldCharType="separate"/>
          </w:r>
          <w:r>
            <w:rPr>
              <w:rFonts w:hint="eastAsia" w:ascii="宋体" w:hAnsi="宋体" w:eastAsia="宋体" w:cs="宋体"/>
              <w:sz w:val="32"/>
              <w:szCs w:val="32"/>
            </w:rPr>
            <w:t>四、政府采购情况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_Toc17085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_Toc12758 </w:instrText>
          </w:r>
          <w:r>
            <w:rPr>
              <w:rFonts w:hint="eastAsia" w:ascii="宋体" w:hAnsi="宋体" w:eastAsia="宋体" w:cs="宋体"/>
              <w:sz w:val="32"/>
              <w:szCs w:val="32"/>
            </w:rPr>
            <w:fldChar w:fldCharType="separate"/>
          </w:r>
          <w:r>
            <w:rPr>
              <w:rFonts w:hint="eastAsia" w:ascii="宋体" w:hAnsi="宋体" w:eastAsia="宋体" w:cs="宋体"/>
              <w:sz w:val="32"/>
              <w:szCs w:val="32"/>
            </w:rPr>
            <w:t>五、绩效管理情况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_Toc12758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2"/>
            <w:tabs>
              <w:tab w:val="right" w:leader="dot" w:pos="9900"/>
            </w:tabs>
            <w:spacing w:line="360" w:lineRule="auto"/>
            <w:rPr>
              <w:rFonts w:hint="eastAsia" w:ascii="宋体" w:hAnsi="宋体" w:eastAsia="宋体" w:cs="宋体"/>
              <w:sz w:val="32"/>
              <w:szCs w:val="32"/>
            </w:rPr>
          </w:pPr>
          <w:r>
            <w:rPr>
              <w:rFonts w:hint="eastAsia" w:ascii="宋体" w:hAnsi="宋体" w:eastAsia="宋体" w:cs="宋体"/>
              <w:color w:val="000000"/>
              <w:sz w:val="32"/>
              <w:szCs w:val="32"/>
            </w:rPr>
            <w:fldChar w:fldCharType="begin"/>
          </w:r>
          <w:r>
            <w:rPr>
              <w:rFonts w:hint="eastAsia" w:ascii="宋体" w:hAnsi="宋体" w:eastAsia="宋体" w:cs="宋体"/>
              <w:sz w:val="32"/>
              <w:szCs w:val="32"/>
            </w:rPr>
            <w:instrText xml:space="preserve"> HYPERLINK \l _Toc479 </w:instrText>
          </w:r>
          <w:r>
            <w:rPr>
              <w:rFonts w:hint="eastAsia" w:ascii="宋体" w:hAnsi="宋体" w:eastAsia="宋体" w:cs="宋体"/>
              <w:sz w:val="32"/>
              <w:szCs w:val="32"/>
            </w:rPr>
            <w:fldChar w:fldCharType="separate"/>
          </w:r>
          <w:r>
            <w:rPr>
              <w:rFonts w:hint="eastAsia" w:ascii="宋体" w:hAnsi="宋体" w:eastAsia="宋体" w:cs="宋体"/>
              <w:sz w:val="32"/>
              <w:szCs w:val="32"/>
            </w:rPr>
            <w:t>六、国有资产占有使用情况</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_Toc479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color w:val="000000"/>
              <w:sz w:val="32"/>
              <w:szCs w:val="32"/>
            </w:rPr>
            <w:fldChar w:fldCharType="end"/>
          </w:r>
        </w:p>
        <w:p>
          <w:pPr>
            <w:pStyle w:val="11"/>
            <w:tabs>
              <w:tab w:val="right" w:leader="dot" w:pos="9900"/>
            </w:tabs>
            <w:spacing w:line="360" w:lineRule="auto"/>
            <w:rPr>
              <w:rFonts w:hint="eastAsia" w:ascii="宋体" w:hAnsi="宋体" w:eastAsia="宋体" w:cs="宋体"/>
              <w:b/>
              <w:sz w:val="32"/>
              <w:szCs w:val="32"/>
            </w:rPr>
          </w:pPr>
          <w:r>
            <w:rPr>
              <w:rFonts w:hint="eastAsia" w:ascii="宋体" w:hAnsi="宋体" w:eastAsia="宋体" w:cs="宋体"/>
              <w:b/>
              <w:color w:val="000000"/>
              <w:sz w:val="32"/>
              <w:szCs w:val="32"/>
            </w:rPr>
            <w:fldChar w:fldCharType="begin"/>
          </w:r>
          <w:r>
            <w:rPr>
              <w:rFonts w:hint="eastAsia" w:ascii="宋体" w:hAnsi="宋体" w:eastAsia="宋体" w:cs="宋体"/>
              <w:b/>
              <w:sz w:val="32"/>
              <w:szCs w:val="32"/>
            </w:rPr>
            <w:instrText xml:space="preserve"> HYPERLINK \l _Toc2546 </w:instrText>
          </w:r>
          <w:r>
            <w:rPr>
              <w:rFonts w:hint="eastAsia" w:ascii="宋体" w:hAnsi="宋体" w:eastAsia="宋体" w:cs="宋体"/>
              <w:b/>
              <w:sz w:val="32"/>
              <w:szCs w:val="32"/>
            </w:rPr>
            <w:fldChar w:fldCharType="separate"/>
          </w:r>
          <w:r>
            <w:rPr>
              <w:rFonts w:hint="eastAsia" w:ascii="宋体" w:hAnsi="宋体" w:eastAsia="宋体" w:cs="宋体"/>
              <w:b/>
              <w:sz w:val="32"/>
              <w:szCs w:val="32"/>
            </w:rPr>
            <w:t>第四部分 名词解释</w:t>
          </w:r>
          <w:r>
            <w:rPr>
              <w:rFonts w:hint="eastAsia" w:ascii="宋体" w:hAnsi="宋体" w:eastAsia="宋体" w:cs="宋体"/>
              <w:b/>
              <w:sz w:val="32"/>
              <w:szCs w:val="32"/>
            </w:rPr>
            <w:tab/>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 PAGEREF _Toc2546 \h </w:instrText>
          </w:r>
          <w:r>
            <w:rPr>
              <w:rFonts w:hint="eastAsia" w:ascii="宋体" w:hAnsi="宋体" w:eastAsia="宋体" w:cs="宋体"/>
              <w:b/>
              <w:sz w:val="32"/>
              <w:szCs w:val="32"/>
            </w:rPr>
            <w:fldChar w:fldCharType="separate"/>
          </w:r>
          <w:r>
            <w:rPr>
              <w:rFonts w:hint="eastAsia" w:ascii="宋体" w:hAnsi="宋体" w:eastAsia="宋体" w:cs="宋体"/>
              <w:b/>
              <w:sz w:val="32"/>
              <w:szCs w:val="32"/>
            </w:rPr>
            <w:t>9</w:t>
          </w:r>
          <w:r>
            <w:rPr>
              <w:rFonts w:hint="eastAsia" w:ascii="宋体" w:hAnsi="宋体" w:eastAsia="宋体" w:cs="宋体"/>
              <w:b/>
              <w:sz w:val="32"/>
              <w:szCs w:val="32"/>
            </w:rPr>
            <w:fldChar w:fldCharType="end"/>
          </w:r>
          <w:r>
            <w:rPr>
              <w:rFonts w:hint="eastAsia" w:ascii="宋体" w:hAnsi="宋体" w:eastAsia="宋体" w:cs="宋体"/>
              <w:b/>
              <w:color w:val="000000"/>
              <w:sz w:val="32"/>
              <w:szCs w:val="32"/>
            </w:rPr>
            <w:fldChar w:fldCharType="end"/>
          </w:r>
        </w:p>
        <w:p>
          <w:pPr>
            <w:spacing w:line="360" w:lineRule="auto"/>
            <w:ind w:firstLine="680"/>
            <w:jc w:val="left"/>
            <w:rPr>
              <w:rFonts w:hint="eastAsia" w:ascii="宋体" w:hAnsi="宋体" w:eastAsia="宋体"/>
              <w:color w:val="000000"/>
              <w:sz w:val="34"/>
            </w:rPr>
          </w:pPr>
          <w:r>
            <w:rPr>
              <w:rFonts w:hint="eastAsia" w:ascii="宋体" w:hAnsi="宋体" w:eastAsia="宋体" w:cs="宋体"/>
              <w:b/>
              <w:color w:val="000000"/>
              <w:sz w:val="32"/>
              <w:szCs w:val="32"/>
            </w:rPr>
            <w:fldChar w:fldCharType="end"/>
          </w:r>
        </w:p>
      </w:sdtContent>
    </w:sdt>
    <w:p>
      <w:pPr>
        <w:spacing w:line="640" w:lineRule="exact"/>
        <w:ind w:firstLine="680"/>
        <w:jc w:val="left"/>
        <w:rPr>
          <w:rFonts w:hint="eastAsia" w:ascii="宋体" w:hAnsi="宋体" w:eastAsia="宋体"/>
          <w:color w:val="000000"/>
          <w:sz w:val="34"/>
        </w:rPr>
      </w:pPr>
    </w:p>
    <w:p>
      <w:pPr>
        <w:spacing w:line="640" w:lineRule="exact"/>
        <w:ind w:firstLine="680"/>
        <w:jc w:val="left"/>
        <w:rPr>
          <w:rFonts w:hint="eastAsia" w:ascii="宋体" w:hAnsi="宋体" w:eastAsia="宋体"/>
          <w:color w:val="000000"/>
          <w:sz w:val="34"/>
        </w:rPr>
      </w:pPr>
    </w:p>
    <w:p>
      <w:pPr>
        <w:spacing w:line="640" w:lineRule="exact"/>
        <w:ind w:firstLine="680"/>
        <w:jc w:val="left"/>
        <w:rPr>
          <w:rFonts w:hint="eastAsia" w:ascii="宋体" w:hAnsi="宋体" w:eastAsia="宋体"/>
          <w:color w:val="000000"/>
          <w:sz w:val="34"/>
        </w:rPr>
      </w:pPr>
    </w:p>
    <w:p>
      <w:pPr>
        <w:spacing w:line="640" w:lineRule="exact"/>
        <w:ind w:firstLine="680"/>
        <w:jc w:val="left"/>
        <w:rPr>
          <w:rFonts w:hint="eastAsia" w:ascii="宋体" w:hAnsi="宋体" w:eastAsia="宋体"/>
          <w:color w:val="000000"/>
          <w:sz w:val="34"/>
        </w:rPr>
      </w:pPr>
    </w:p>
    <w:p>
      <w:pPr>
        <w:pStyle w:val="2"/>
        <w:bidi w:val="0"/>
        <w:jc w:val="center"/>
      </w:pPr>
      <w:bookmarkStart w:id="0" w:name="_Toc5214"/>
      <w:r>
        <w:rPr>
          <w:rFonts w:hint="eastAsia"/>
          <w:lang w:val="en-US" w:eastAsia="zh-CN"/>
        </w:rPr>
        <w:t xml:space="preserve">第一部分 </w:t>
      </w:r>
      <w:r>
        <w:rPr>
          <w:rFonts w:hint="eastAsia"/>
        </w:rPr>
        <w:t>忻州市</w:t>
      </w:r>
      <w:r>
        <w:rPr>
          <w:rFonts w:hint="eastAsia"/>
          <w:lang w:eastAsia="zh-CN"/>
        </w:rPr>
        <w:t>交通运输</w:t>
      </w:r>
      <w:r>
        <w:rPr>
          <w:rFonts w:hint="eastAsia"/>
        </w:rPr>
        <w:t>局</w:t>
      </w:r>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both"/>
        <w:textAlignment w:val="auto"/>
        <w:outlineLvl w:val="1"/>
        <w:rPr>
          <w:rStyle w:val="9"/>
          <w:rFonts w:hint="eastAsia"/>
        </w:rPr>
      </w:pPr>
      <w:bookmarkStart w:id="1" w:name="_Toc30686"/>
      <w:r>
        <w:rPr>
          <w:rStyle w:val="9"/>
          <w:rFonts w:hint="eastAsia"/>
        </w:rPr>
        <w:t>一、单位主要职责 </w:t>
      </w:r>
      <w:bookmarkEnd w:id="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负责全市综合交通运输体系的规划协调工作，会同有关部门组织编制全市综合交通运输体系规划。组织拟定并监督实施全市公路水路行业规划，执行有关行业标准，参与拟定全市物流业发展规划并监督实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2）负责全市公路水路建设市场监督管理工作，组织实施全市公路水路重点工程建设和工程质量，安全生产的监督管理，指导和组织全市地方交通运输基础设施管理和维护，负责有关重要交通设施的管理、维护和运营。指导和组织全市农村公路建设、维护、路政、监控、治超等管理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（3）负责全市道路水路运输市场的监督管理，负责交通运输综合行政执法工作；指导城乡客运及有关设施的规划与管理工作；负责市区客运管理，指导全市城市公共汽车、出租车行业管理工作。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4）指导全市公路水路行业安全生产和应急管理工作，按规定组织协调重点物资，紧急客货运输和公路水路紧急抢修抢险工作。承担全市水上交通安全，水上交通管制，船舶及水上设施检验，登记和防止污染，水上消防，航行保障，应急救助，危险品运输等监督管理工作。负责船员管理的有关工作。负责全市水上交通安全事故，船舶及相关水上设施污染事故的应急处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5）提出全市公路水路交通基础设施建设投资规模和方向，提出国家、省、市三级财政性资金和交通运输厅专项资金的安排意见。按市政府规定权限审批，核准规划内和年度计划内固定资产投资项目。提出有关财政、土地、价格等政策建议。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（6）负责全市交通运输系统优化营商环境和“放管服”改革及行政审批工作。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宋体" w:hAnsi="宋体" w:eastAsia="宋体" w:cs="宋体"/>
          <w:i w:val="0"/>
          <w:iCs w:val="0"/>
          <w:caps w:val="0"/>
          <w:color w:val="333333"/>
          <w:spacing w:val="0"/>
          <w:sz w:val="24"/>
          <w:szCs w:val="24"/>
        </w:rPr>
        <w:t>　</w:t>
      </w:r>
      <w:r>
        <w:rPr>
          <w:rFonts w:hint="eastAsia" w:asciiTheme="minorHAnsi" w:hAnsiTheme="minorHAnsi" w:eastAsiaTheme="minorEastAsia" w:cstheme="minorBidi"/>
          <w:color w:val="000000"/>
          <w:kern w:val="0"/>
          <w:sz w:val="32"/>
          <w:szCs w:val="22"/>
        </w:rPr>
        <w:t>　（7）指导全市交通运输信息化建设，监测分析运行情况；开展相关统计工作，发布有关信息，组织指导全市公路水路行业科技开发，环境保护和节能减排等工作。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（8）承担市委、市人民政府交办的其他任务。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4" w:lineRule="atLeast"/>
        <w:ind w:left="0" w:right="0" w:firstLine="0"/>
        <w:jc w:val="both"/>
        <w:textAlignment w:val="auto"/>
        <w:outlineLvl w:val="1"/>
        <w:rPr>
          <w:rFonts w:hint="eastAsia" w:asciiTheme="minorHAnsi" w:hAnsiTheme="minorHAnsi" w:eastAsiaTheme="minorEastAsia" w:cstheme="minorBidi"/>
          <w:color w:val="000000"/>
          <w:kern w:val="0"/>
          <w:sz w:val="32"/>
          <w:szCs w:val="22"/>
        </w:rPr>
      </w:pPr>
      <w:bookmarkStart w:id="2" w:name="_Toc647"/>
      <w:r>
        <w:rPr>
          <w:rStyle w:val="9"/>
          <w:rFonts w:hint="eastAsia"/>
        </w:rPr>
        <w:t>二、</w:t>
      </w:r>
      <w:r>
        <w:rPr>
          <w:rStyle w:val="9"/>
          <w:rFonts w:hint="eastAsia"/>
          <w:lang w:eastAsia="zh-CN"/>
        </w:rPr>
        <w:t>部门预算单位构成</w:t>
      </w:r>
      <w:r>
        <w:rPr>
          <w:rStyle w:val="9"/>
          <w:rFonts w:hint="eastAsia"/>
        </w:rPr>
        <w:t> </w:t>
      </w:r>
      <w:bookmarkEnd w:id="2"/>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忻州市交通运输局内设机构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 办公室（党组办公室）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2. 人事科（机关党委）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3. 行政审批管理科（政策法规科）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4. 综合规划科，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5. 财务科（内审科）。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6. 建设管理科，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7. 公路管理科，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8. 运输管理科。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9. 安全监督科，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10. 交通战备科，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合计编制数21人。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hint="eastAsia" w:asciiTheme="minorHAnsi" w:hAnsiTheme="minorHAnsi" w:eastAsiaTheme="minorEastAsia" w:cstheme="minorBidi"/>
          <w:color w:val="000000"/>
          <w:kern w:val="0"/>
          <w:sz w:val="32"/>
          <w:szCs w:val="22"/>
        </w:rPr>
      </w:pPr>
      <w:r>
        <w:rPr>
          <w:rFonts w:hint="eastAsia" w:asciiTheme="minorHAnsi" w:hAnsiTheme="minorHAnsi" w:eastAsiaTheme="minorEastAsia" w:cstheme="minorBidi"/>
          <w:color w:val="000000"/>
          <w:kern w:val="0"/>
          <w:sz w:val="32"/>
          <w:szCs w:val="2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both"/>
        <w:rPr>
          <w:rFonts w:asciiTheme="minorHAnsi" w:hAnsiTheme="minorHAnsi" w:eastAsiaTheme="minorEastAsia" w:cstheme="minorBidi"/>
          <w:color w:val="000000"/>
          <w:kern w:val="0"/>
          <w:sz w:val="34"/>
          <w:szCs w:val="22"/>
          <w:lang/>
        </w:rPr>
      </w:pPr>
      <w:r>
        <w:rPr>
          <w:rFonts w:hint="eastAsia" w:asciiTheme="minorHAnsi" w:hAnsiTheme="minorHAnsi" w:eastAsiaTheme="minorEastAsia" w:cstheme="minorBidi"/>
          <w:color w:val="000000"/>
          <w:kern w:val="0"/>
          <w:sz w:val="34"/>
          <w:szCs w:val="22"/>
          <w:lang/>
        </w:rPr>
        <w:t>　</w:t>
      </w:r>
      <w:bookmarkStart w:id="3" w:name="_Toc1341"/>
      <w:r>
        <w:rPr>
          <w:rFonts w:hint="eastAsia" w:asciiTheme="minorHAnsi" w:hAnsiTheme="minorHAnsi" w:eastAsiaTheme="minorEastAsia" w:cstheme="minorBidi"/>
          <w:color w:val="000000"/>
          <w:kern w:val="0"/>
          <w:sz w:val="34"/>
          <w:szCs w:val="22"/>
          <w:lang w:val="en-US" w:eastAsia="zh-CN"/>
        </w:rPr>
        <w:t>第</w:t>
      </w:r>
      <w:r>
        <w:rPr>
          <w:rFonts w:asciiTheme="minorHAnsi" w:hAnsiTheme="minorHAnsi" w:eastAsiaTheme="minorEastAsia" w:cstheme="minorBidi"/>
          <w:color w:val="000000"/>
          <w:kern w:val="0"/>
          <w:sz w:val="34"/>
          <w:szCs w:val="22"/>
          <w:lang/>
        </w:rPr>
        <w:t>二部分 2021年度部门预算公开报表（见附表）</w:t>
      </w:r>
      <w:bookmarkEnd w:id="3"/>
    </w:p>
    <w:p>
      <w:pPr>
        <w:spacing w:line="700" w:lineRule="exact"/>
        <w:ind w:firstLine="700"/>
        <w:jc w:val="left"/>
      </w:pPr>
      <w:r>
        <w:rPr>
          <w:color w:val="000000"/>
          <w:sz w:val="34"/>
        </w:rPr>
        <w:t>一、忻州市</w:t>
      </w:r>
      <w:r>
        <w:rPr>
          <w:rFonts w:hint="eastAsia"/>
          <w:color w:val="000000"/>
          <w:sz w:val="34"/>
          <w:lang w:eastAsia="zh-CN"/>
        </w:rPr>
        <w:t>交通运输</w:t>
      </w:r>
      <w:r>
        <w:rPr>
          <w:color w:val="000000"/>
          <w:sz w:val="34"/>
        </w:rPr>
        <w:t>局2021年预算收支总表</w:t>
      </w:r>
    </w:p>
    <w:p>
      <w:pPr>
        <w:spacing w:line="700" w:lineRule="exact"/>
        <w:ind w:firstLine="700"/>
        <w:jc w:val="left"/>
      </w:pPr>
      <w:r>
        <w:rPr>
          <w:color w:val="000000"/>
          <w:sz w:val="34"/>
        </w:rPr>
        <w:t>二、忻州市</w:t>
      </w:r>
      <w:r>
        <w:rPr>
          <w:rFonts w:hint="eastAsia"/>
          <w:color w:val="000000"/>
          <w:sz w:val="34"/>
          <w:lang w:eastAsia="zh-CN"/>
        </w:rPr>
        <w:t>交通运输</w:t>
      </w:r>
      <w:r>
        <w:rPr>
          <w:color w:val="000000"/>
          <w:sz w:val="34"/>
        </w:rPr>
        <w:t>局2021年预算收入总表</w:t>
      </w:r>
    </w:p>
    <w:p>
      <w:pPr>
        <w:spacing w:line="700" w:lineRule="exact"/>
        <w:ind w:firstLine="700"/>
        <w:jc w:val="left"/>
      </w:pPr>
      <w:r>
        <w:rPr>
          <w:color w:val="000000"/>
          <w:sz w:val="34"/>
        </w:rPr>
        <w:t>三、忻州市</w:t>
      </w:r>
      <w:r>
        <w:rPr>
          <w:rFonts w:hint="eastAsia"/>
          <w:color w:val="000000"/>
          <w:sz w:val="34"/>
          <w:lang w:eastAsia="zh-CN"/>
        </w:rPr>
        <w:t>交通运输</w:t>
      </w:r>
      <w:r>
        <w:rPr>
          <w:color w:val="000000"/>
          <w:sz w:val="34"/>
        </w:rPr>
        <w:t>局2021年预算支出总表</w:t>
      </w:r>
    </w:p>
    <w:p>
      <w:pPr>
        <w:spacing w:line="700" w:lineRule="exact"/>
        <w:ind w:firstLine="700"/>
        <w:jc w:val="left"/>
      </w:pPr>
      <w:r>
        <w:rPr>
          <w:color w:val="000000"/>
          <w:sz w:val="34"/>
        </w:rPr>
        <w:t>四、忻州市</w:t>
      </w:r>
      <w:r>
        <w:rPr>
          <w:rFonts w:hint="eastAsia"/>
          <w:color w:val="000000"/>
          <w:sz w:val="34"/>
          <w:lang w:eastAsia="zh-CN"/>
        </w:rPr>
        <w:t>交通运输</w:t>
      </w:r>
      <w:r>
        <w:rPr>
          <w:color w:val="000000"/>
          <w:sz w:val="34"/>
        </w:rPr>
        <w:t>局2021年财政拨款收支总表</w:t>
      </w:r>
    </w:p>
    <w:p>
      <w:pPr>
        <w:spacing w:line="700" w:lineRule="exact"/>
        <w:ind w:firstLine="700"/>
        <w:jc w:val="left"/>
      </w:pPr>
      <w:r>
        <w:rPr>
          <w:color w:val="000000"/>
          <w:sz w:val="34"/>
        </w:rPr>
        <w:t>五、忻州市</w:t>
      </w:r>
      <w:r>
        <w:rPr>
          <w:rFonts w:hint="eastAsia"/>
          <w:color w:val="000000"/>
          <w:sz w:val="34"/>
          <w:lang w:eastAsia="zh-CN"/>
        </w:rPr>
        <w:t>交通运输</w:t>
      </w:r>
      <w:r>
        <w:rPr>
          <w:color w:val="000000"/>
          <w:sz w:val="34"/>
        </w:rPr>
        <w:t>局2021年一般公共预算支出预算表</w:t>
      </w:r>
    </w:p>
    <w:p>
      <w:pPr>
        <w:spacing w:line="700" w:lineRule="exact"/>
        <w:ind w:firstLine="700"/>
        <w:jc w:val="both"/>
      </w:pPr>
      <w:r>
        <w:rPr>
          <w:color w:val="000000"/>
          <w:sz w:val="34"/>
        </w:rPr>
        <w:t>六、忻州市</w:t>
      </w:r>
      <w:r>
        <w:rPr>
          <w:rFonts w:hint="eastAsia"/>
          <w:color w:val="000000"/>
          <w:sz w:val="34"/>
          <w:lang w:eastAsia="zh-CN"/>
        </w:rPr>
        <w:t>交通运输</w:t>
      </w:r>
      <w:r>
        <w:rPr>
          <w:color w:val="000000"/>
          <w:sz w:val="34"/>
        </w:rPr>
        <w:t>局2021年一般公共预算安排基本支出分经济科目表</w:t>
      </w:r>
    </w:p>
    <w:p>
      <w:pPr>
        <w:spacing w:line="700" w:lineRule="exact"/>
        <w:ind w:firstLine="700"/>
        <w:jc w:val="left"/>
      </w:pPr>
      <w:r>
        <w:rPr>
          <w:color w:val="000000"/>
          <w:sz w:val="34"/>
        </w:rPr>
        <w:t>七、忻州市</w:t>
      </w:r>
      <w:r>
        <w:rPr>
          <w:rFonts w:hint="eastAsia"/>
          <w:color w:val="000000"/>
          <w:sz w:val="34"/>
          <w:lang w:eastAsia="zh-CN"/>
        </w:rPr>
        <w:t>交通运输</w:t>
      </w:r>
      <w:r>
        <w:rPr>
          <w:color w:val="000000"/>
          <w:sz w:val="34"/>
        </w:rPr>
        <w:t>局2021年政府性基金预算收入表</w:t>
      </w:r>
    </w:p>
    <w:p>
      <w:pPr>
        <w:spacing w:line="700" w:lineRule="exact"/>
        <w:ind w:firstLine="700"/>
        <w:jc w:val="left"/>
      </w:pPr>
      <w:r>
        <w:rPr>
          <w:color w:val="000000"/>
          <w:sz w:val="34"/>
        </w:rPr>
        <w:t>八、忻州市</w:t>
      </w:r>
      <w:r>
        <w:rPr>
          <w:rFonts w:hint="eastAsia"/>
          <w:color w:val="000000"/>
          <w:sz w:val="34"/>
          <w:lang w:eastAsia="zh-CN"/>
        </w:rPr>
        <w:t>交通运输</w:t>
      </w:r>
      <w:r>
        <w:rPr>
          <w:color w:val="000000"/>
          <w:sz w:val="34"/>
        </w:rPr>
        <w:t>局2021年政府性基金预算支出表</w:t>
      </w:r>
    </w:p>
    <w:p>
      <w:pPr>
        <w:spacing w:line="700" w:lineRule="exact"/>
        <w:ind w:firstLine="700"/>
        <w:jc w:val="both"/>
      </w:pPr>
      <w:r>
        <w:rPr>
          <w:color w:val="000000"/>
          <w:sz w:val="34"/>
        </w:rPr>
        <w:t>九、忻州市</w:t>
      </w:r>
      <w:r>
        <w:rPr>
          <w:rFonts w:hint="eastAsia"/>
          <w:color w:val="000000"/>
          <w:sz w:val="34"/>
          <w:lang w:eastAsia="zh-CN"/>
        </w:rPr>
        <w:t>交通运输</w:t>
      </w:r>
      <w:r>
        <w:rPr>
          <w:color w:val="000000"/>
          <w:sz w:val="34"/>
        </w:rPr>
        <w:t>局2021年一般公共预算“三公”经费支出情况统计表</w:t>
      </w:r>
    </w:p>
    <w:p>
      <w:pPr>
        <w:spacing w:line="700" w:lineRule="exact"/>
        <w:ind w:firstLine="700"/>
        <w:jc w:val="both"/>
        <w:sectPr>
          <w:footerReference r:id="rId4" w:type="first"/>
          <w:footerReference r:id="rId3" w:type="default"/>
          <w:pgSz w:w="11900" w:h="16840"/>
          <w:pgMar w:top="1440" w:right="1000" w:bottom="1440" w:left="1000" w:header="0" w:footer="1440" w:gutter="0"/>
          <w:pgNumType w:fmt="decimal" w:start="1"/>
          <w:cols w:space="720" w:num="1"/>
          <w:titlePg/>
          <w:docGrid w:type="lines" w:linePitch="312" w:charSpace="0"/>
        </w:sectPr>
      </w:pPr>
      <w:r>
        <w:rPr>
          <w:color w:val="000000"/>
          <w:sz w:val="34"/>
        </w:rPr>
        <w:t>十、忻州市</w:t>
      </w:r>
      <w:r>
        <w:rPr>
          <w:rFonts w:hint="eastAsia"/>
          <w:color w:val="000000"/>
          <w:sz w:val="34"/>
          <w:lang w:eastAsia="zh-CN"/>
        </w:rPr>
        <w:t>交通运输</w:t>
      </w:r>
      <w:r>
        <w:rPr>
          <w:color w:val="000000"/>
          <w:sz w:val="34"/>
        </w:rPr>
        <w:t>局2021年机关运行经费预算财政拨款情况统计表</w:t>
      </w:r>
    </w:p>
    <w:p>
      <w:pPr>
        <w:pStyle w:val="2"/>
        <w:bidi w:val="0"/>
        <w:ind w:firstLine="883" w:firstLineChars="200"/>
      </w:pPr>
      <w:bookmarkStart w:id="4" w:name="_Toc3707"/>
    </w:p>
    <w:p>
      <w:pPr>
        <w:pStyle w:val="2"/>
        <w:bidi w:val="0"/>
        <w:ind w:firstLine="883" w:firstLineChars="200"/>
      </w:pPr>
    </w:p>
    <w:p>
      <w:pPr>
        <w:pStyle w:val="2"/>
        <w:bidi w:val="0"/>
        <w:ind w:firstLine="883" w:firstLineChars="200"/>
      </w:pPr>
      <w:r>
        <w:t>第三部分 2021年度部门预算情况说明</w:t>
      </w:r>
      <w:bookmarkEnd w:id="4"/>
    </w:p>
    <w:p>
      <w:pPr>
        <w:pStyle w:val="3"/>
        <w:bidi w:val="0"/>
      </w:pPr>
      <w:bookmarkStart w:id="5" w:name="_Toc4688"/>
      <w:r>
        <w:t>一、2021年度部门预算收支情况</w:t>
      </w:r>
      <w:bookmarkEnd w:id="5"/>
    </w:p>
    <w:p>
      <w:pPr>
        <w:spacing w:line="600" w:lineRule="exact"/>
        <w:ind w:firstLine="660"/>
        <w:jc w:val="left"/>
        <w:rPr>
          <w:rFonts w:hint="eastAsia" w:eastAsiaTheme="minorEastAsia"/>
          <w:lang w:eastAsia="zh-CN"/>
        </w:rPr>
      </w:pPr>
      <w:r>
        <w:rPr>
          <w:color w:val="000000"/>
          <w:sz w:val="30"/>
        </w:rPr>
        <w:t>（一）预算收支情况</w:t>
      </w:r>
      <w:r>
        <w:rPr>
          <w:rFonts w:hint="eastAsia"/>
          <w:color w:val="000000"/>
          <w:sz w:val="30"/>
          <w:lang w:eastAsia="zh-CN"/>
        </w:rPr>
        <w:t>（包括局机关、忻州市交通建设中心、忻州市邮政业安全中心、忻州市交通运输运行监测与应急处置中心，因机构改革，三个二级单位预算合并下达在主管局）</w:t>
      </w:r>
    </w:p>
    <w:p>
      <w:pPr>
        <w:spacing w:after="80" w:line="620" w:lineRule="exact"/>
        <w:ind w:firstLine="660"/>
        <w:jc w:val="both"/>
        <w:rPr>
          <w:rFonts w:hint="default" w:eastAsiaTheme="minorEastAsia"/>
          <w:lang w:val="en-US" w:eastAsia="zh-CN"/>
        </w:rPr>
      </w:pPr>
      <w:r>
        <w:rPr>
          <w:color w:val="000000"/>
          <w:sz w:val="32"/>
        </w:rPr>
        <w:t>1、忻州市</w:t>
      </w:r>
      <w:r>
        <w:rPr>
          <w:rFonts w:hint="eastAsia"/>
          <w:color w:val="000000"/>
          <w:sz w:val="32"/>
          <w:lang w:eastAsia="zh-CN"/>
        </w:rPr>
        <w:t>交通运输</w:t>
      </w:r>
      <w:r>
        <w:rPr>
          <w:color w:val="000000"/>
          <w:sz w:val="32"/>
        </w:rPr>
        <w:t>局2021年收支预算</w:t>
      </w:r>
      <w:r>
        <w:rPr>
          <w:rFonts w:hint="eastAsia"/>
          <w:color w:val="000000"/>
          <w:sz w:val="32"/>
          <w:lang w:val="en-US" w:eastAsia="zh-CN"/>
        </w:rPr>
        <w:t>1203.04</w:t>
      </w:r>
      <w:r>
        <w:rPr>
          <w:color w:val="000000"/>
          <w:sz w:val="32"/>
        </w:rPr>
        <w:t>万元。收入包括一般公共预算财政拨款</w:t>
      </w:r>
      <w:r>
        <w:rPr>
          <w:rFonts w:hint="eastAsia"/>
          <w:color w:val="000000"/>
          <w:sz w:val="32"/>
          <w:lang w:val="en-US" w:eastAsia="zh-CN"/>
        </w:rPr>
        <w:t>1203.04</w:t>
      </w:r>
      <w:r>
        <w:rPr>
          <w:color w:val="000000"/>
          <w:sz w:val="32"/>
        </w:rPr>
        <w:t>万元；支出包括</w:t>
      </w:r>
      <w:r>
        <w:rPr>
          <w:rFonts w:hint="eastAsia"/>
          <w:color w:val="000000"/>
          <w:sz w:val="32"/>
          <w:lang w:val="en-US" w:eastAsia="zh-CN"/>
        </w:rPr>
        <w:t xml:space="preserve"> </w:t>
      </w:r>
      <w:r>
        <w:rPr>
          <w:color w:val="000000"/>
          <w:sz w:val="32"/>
        </w:rPr>
        <w:t>社会保障和就业支出预算</w:t>
      </w:r>
      <w:r>
        <w:rPr>
          <w:rFonts w:hint="eastAsia"/>
          <w:color w:val="000000"/>
          <w:sz w:val="32"/>
          <w:lang w:val="en-US" w:eastAsia="zh-CN"/>
        </w:rPr>
        <w:t>107.53</w:t>
      </w:r>
      <w:r>
        <w:rPr>
          <w:color w:val="000000"/>
          <w:sz w:val="32"/>
        </w:rPr>
        <w:t>万元，卫生健康支出</w:t>
      </w:r>
      <w:r>
        <w:rPr>
          <w:rFonts w:hint="eastAsia"/>
          <w:color w:val="000000"/>
          <w:sz w:val="32"/>
          <w:lang w:val="en-US" w:eastAsia="zh-CN"/>
        </w:rPr>
        <w:t>47.05</w:t>
      </w:r>
      <w:r>
        <w:rPr>
          <w:color w:val="000000"/>
          <w:sz w:val="32"/>
        </w:rPr>
        <w:t>万元，农林水支出</w:t>
      </w:r>
      <w:r>
        <w:rPr>
          <w:rFonts w:hint="eastAsia"/>
          <w:color w:val="000000"/>
          <w:sz w:val="32"/>
          <w:lang w:val="en-US" w:eastAsia="zh-CN"/>
        </w:rPr>
        <w:t>27</w:t>
      </w:r>
      <w:r>
        <w:rPr>
          <w:color w:val="000000"/>
          <w:sz w:val="32"/>
        </w:rPr>
        <w:t>万元，</w:t>
      </w:r>
      <w:r>
        <w:rPr>
          <w:rFonts w:hint="eastAsia"/>
          <w:color w:val="000000"/>
          <w:sz w:val="32"/>
          <w:lang w:eastAsia="zh-CN"/>
        </w:rPr>
        <w:t>交通运输支出</w:t>
      </w:r>
      <w:r>
        <w:rPr>
          <w:rFonts w:hint="eastAsia"/>
          <w:color w:val="000000"/>
          <w:sz w:val="32"/>
          <w:lang w:val="en-US" w:eastAsia="zh-CN"/>
        </w:rPr>
        <w:t>949.15万元，</w:t>
      </w:r>
      <w:r>
        <w:rPr>
          <w:color w:val="000000"/>
          <w:sz w:val="32"/>
        </w:rPr>
        <w:t>住房保障支出</w:t>
      </w:r>
      <w:r>
        <w:rPr>
          <w:rFonts w:hint="eastAsia"/>
          <w:color w:val="000000"/>
          <w:sz w:val="32"/>
          <w:lang w:val="en-US" w:eastAsia="zh-CN"/>
        </w:rPr>
        <w:t>72.31</w:t>
      </w:r>
      <w:r>
        <w:rPr>
          <w:color w:val="000000"/>
          <w:sz w:val="32"/>
        </w:rPr>
        <w:t>万元，</w:t>
      </w:r>
      <w:r>
        <w:rPr>
          <w:rFonts w:hint="eastAsia"/>
          <w:color w:val="000000"/>
          <w:sz w:val="32"/>
          <w:lang w:val="en-US" w:eastAsia="zh-CN"/>
        </w:rPr>
        <w:t>项目支出12万元。</w:t>
      </w:r>
    </w:p>
    <w:p>
      <w:pPr>
        <w:spacing w:line="600" w:lineRule="exact"/>
        <w:ind w:firstLine="660"/>
        <w:jc w:val="left"/>
      </w:pPr>
      <w:r>
        <w:rPr>
          <w:color w:val="000000"/>
          <w:sz w:val="30"/>
        </w:rPr>
        <w:t>（二）一般公共预算支出情况</w:t>
      </w:r>
    </w:p>
    <w:p>
      <w:pPr>
        <w:spacing w:line="580" w:lineRule="exact"/>
        <w:ind w:firstLine="660"/>
        <w:jc w:val="both"/>
      </w:pPr>
      <w:r>
        <w:rPr>
          <w:color w:val="000000"/>
          <w:sz w:val="30"/>
        </w:rPr>
        <w:t>忻州市</w:t>
      </w:r>
      <w:r>
        <w:rPr>
          <w:rFonts w:hint="eastAsia"/>
          <w:color w:val="000000"/>
          <w:sz w:val="30"/>
          <w:lang w:eastAsia="zh-CN"/>
        </w:rPr>
        <w:t>交通运输</w:t>
      </w:r>
      <w:r>
        <w:rPr>
          <w:color w:val="000000"/>
          <w:sz w:val="30"/>
        </w:rPr>
        <w:t>局2021年度一般公共预算支出预算</w:t>
      </w:r>
      <w:r>
        <w:rPr>
          <w:rFonts w:hint="eastAsia"/>
          <w:color w:val="000000"/>
          <w:sz w:val="30"/>
          <w:lang w:val="en-US" w:eastAsia="zh-CN"/>
        </w:rPr>
        <w:t>1203.04</w:t>
      </w:r>
      <w:r>
        <w:rPr>
          <w:color w:val="000000"/>
          <w:sz w:val="30"/>
        </w:rPr>
        <w:t>万元，与2020年相比</w:t>
      </w:r>
      <w:r>
        <w:rPr>
          <w:rFonts w:hint="eastAsia"/>
          <w:color w:val="000000"/>
          <w:sz w:val="30"/>
          <w:lang w:eastAsia="zh-CN"/>
        </w:rPr>
        <w:t>减少</w:t>
      </w:r>
      <w:r>
        <w:rPr>
          <w:rFonts w:hint="eastAsia"/>
          <w:color w:val="000000"/>
          <w:sz w:val="30"/>
          <w:lang w:val="en-US" w:eastAsia="zh-CN"/>
        </w:rPr>
        <w:t>648.5</w:t>
      </w:r>
      <w:r>
        <w:rPr>
          <w:color w:val="000000"/>
          <w:sz w:val="30"/>
        </w:rPr>
        <w:t>万元。主要是2021年</w:t>
      </w:r>
      <w:r>
        <w:rPr>
          <w:rFonts w:hint="eastAsia"/>
          <w:color w:val="000000"/>
          <w:sz w:val="30"/>
          <w:lang w:eastAsia="zh-CN"/>
        </w:rPr>
        <w:t>减少了公路建设项目，</w:t>
      </w:r>
      <w:r>
        <w:rPr>
          <w:color w:val="000000"/>
          <w:sz w:val="30"/>
        </w:rPr>
        <w:t>其次，因所属事业单位机构改革，人员合并致人员经费增加，以及预算一体化改革后公用经费定额标准提升。</w:t>
      </w:r>
    </w:p>
    <w:p>
      <w:pPr>
        <w:spacing w:line="620" w:lineRule="exact"/>
        <w:ind w:firstLine="660"/>
        <w:jc w:val="both"/>
        <w:sectPr>
          <w:footerReference r:id="rId5" w:type="default"/>
          <w:type w:val="continuous"/>
          <w:pgSz w:w="11900" w:h="16840"/>
          <w:pgMar w:top="1240" w:right="1620" w:bottom="1240" w:left="1620" w:header="0" w:footer="1240" w:gutter="0"/>
          <w:pgNumType w:fmt="decimal"/>
          <w:cols w:space="720" w:num="1"/>
          <w:docGrid w:type="lines" w:linePitch="312" w:charSpace="0"/>
        </w:sectPr>
      </w:pPr>
      <w:r>
        <w:rPr>
          <w:color w:val="000000"/>
          <w:sz w:val="32"/>
        </w:rPr>
        <w:t>1、2021年基本支出</w:t>
      </w:r>
      <w:r>
        <w:rPr>
          <w:rFonts w:hint="eastAsia"/>
          <w:color w:val="000000"/>
          <w:sz w:val="32"/>
          <w:lang w:val="en-US" w:eastAsia="zh-CN"/>
        </w:rPr>
        <w:t>1191.04</w:t>
      </w:r>
      <w:r>
        <w:rPr>
          <w:color w:val="000000"/>
          <w:sz w:val="32"/>
        </w:rPr>
        <w:t>万元，比2020年增加</w:t>
      </w:r>
      <w:r>
        <w:rPr>
          <w:rFonts w:hint="eastAsia"/>
          <w:color w:val="000000"/>
          <w:sz w:val="32"/>
          <w:lang w:val="en-US" w:eastAsia="zh-CN"/>
        </w:rPr>
        <w:t>821.5</w:t>
      </w:r>
      <w:r>
        <w:rPr>
          <w:color w:val="000000"/>
          <w:sz w:val="32"/>
        </w:rPr>
        <w:t>万元。基本支出系按现有人员工资标准和公用经费定额标准核定。增加的原因是所属事业单位机构改革，人员合并致人</w:t>
      </w:r>
      <w:r>
        <mc:AlternateContent>
          <mc:Choice Requires="wps">
            <w:drawing>
              <wp:anchor distT="0" distB="0" distL="114300" distR="114300" simplePos="0" relativeHeight="251661312" behindDoc="0" locked="0" layoutInCell="1" allowOverlap="1">
                <wp:simplePos x="0" y="0"/>
                <wp:positionH relativeFrom="page">
                  <wp:posOffset>3187700</wp:posOffset>
                </wp:positionH>
                <wp:positionV relativeFrom="paragraph">
                  <wp:posOffset>9258300</wp:posOffset>
                </wp:positionV>
                <wp:extent cx="1143000" cy="3302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6pt;width:90pt;mso-position-horizontal-relative:page;z-index:251661312;mso-width-relative:page;mso-height-relative:page;" filled="f" stroked="f" coordsize="21600,21600" o:gfxdata="UEsDBAoAAAAAAIdO4kAAAAAAAAAAAAAAAAAEAAAAZHJzL1BLAwQUAAAACACHTuJANUS4pdkAAAAN&#10;AQAADwAAAGRycy9kb3ducmV2LnhtbE1Py07DMBC8I/EP1iJxo3YqUkVpnAqQEEVwaYFydZMljojX&#10;Uew26d+zPZXbzkOzM8Vqcp044hBaTxqSmQKBVPm6pUbD58fzXQYiREO16TyhhhMGWJXXV4XJaz/S&#10;Bo/b2AgOoZAbDTbGPpcyVBadCTPfI7H24wdnIsOhkfVgRg53nZwrtZDOtMQfrOnxyWL1uz04DY/Z&#10;y3p8+Pp+m2y62b0mFNan96D17U2iliAiTvFihnN9rg4ld9r7A9VBdBpSNectkYX7NOOLLYvsTO2Z&#10;ShOlQJaF/L+i/ANQSwMEFAAAAAgAh07iQLsq86j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WRJgoG&#10;fv718/z77/nPD1RGeQbrG8i6s5AXxvdmhKV58HtwRtYjdyp+gQ+K8Tovrq5B4lOLy6JaVcVyEpqN&#10;AVFIAGe5qpcYUcioquu6XKWM7BHKOh8+MKNQNFrsYJJJYHL85AO0BakPKbGyNrdCyjRNqdHQ4rpa&#10;5unBJQIvpIaHkdDUeLTCuBtnljvTnYCk/KhB4HJ5lceFSRcw3FPvbvZOld8dguEiNRURJ5i5EIwt&#10;9TqvWNyLp/eU9fhbbe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US4pdkAAAANAQAADwAAAAAA&#10;AAABACAAAAAiAAAAZHJzL2Rvd25yZXYueG1sUEsBAhQAFAAAAAgAh07iQLsq86jZAQAAngMAAA4A&#10;AAAAAAAAAQAgAAAAKAEAAGRycy9lMm9Eb2MueG1sUEsFBgAAAAAGAAYAWQEAAHMFAAAAAA==&#10;">
                <v:fill on="f" focussize="0,0"/>
                <v:stroke on="f" weight="0.5pt"/>
                <v:imagedata o:title=""/>
                <o:lock v:ext="edit" aspectratio="f"/>
                <v:textbox inset="2pt,0mm,2pt,0mm">
                  <w:txbxContent>
                    <w:p/>
                  </w:txbxContent>
                </v:textbox>
              </v:shape>
            </w:pict>
          </mc:Fallback>
        </mc:AlternateContent>
      </w:r>
    </w:p>
    <w:p>
      <w:pPr>
        <w:spacing w:line="620" w:lineRule="exact"/>
        <w:ind w:firstLine="0"/>
        <w:jc w:val="left"/>
      </w:pPr>
      <w:r>
        <w:rPr>
          <w:color w:val="000000"/>
          <w:sz w:val="30"/>
        </w:rPr>
        <w:t>员经费增加，以及预算一体化改革后公用经费定额标准提</w:t>
      </w:r>
    </w:p>
    <w:p>
      <w:pPr>
        <w:spacing w:line="700" w:lineRule="exact"/>
        <w:ind w:firstLine="0"/>
        <w:jc w:val="left"/>
      </w:pPr>
      <w:r>
        <w:rPr>
          <w:color w:val="000000"/>
          <w:sz w:val="34"/>
        </w:rPr>
        <w:t>升。</w:t>
      </w:r>
    </w:p>
    <w:p>
      <w:pPr>
        <w:spacing w:line="620" w:lineRule="exact"/>
        <w:ind w:firstLine="680"/>
        <w:jc w:val="both"/>
      </w:pPr>
      <w:r>
        <w:rPr>
          <w:color w:val="000000"/>
          <w:sz w:val="30"/>
        </w:rPr>
        <w:t>其中：人员经费</w:t>
      </w:r>
      <w:r>
        <w:rPr>
          <w:rFonts w:hint="eastAsia"/>
          <w:color w:val="000000"/>
          <w:sz w:val="30"/>
          <w:lang w:val="en-US" w:eastAsia="zh-CN"/>
        </w:rPr>
        <w:t>966.90</w:t>
      </w:r>
      <w:r>
        <w:rPr>
          <w:color w:val="000000"/>
          <w:sz w:val="30"/>
        </w:rPr>
        <w:t>万元，主要包括基本工资、津贴补贴、奖金、绩效工资、机关事业单位基本养老保险缴费、职业年金缴费、职工基本医疗保险缴费、其他社会保障缴费、住房公积金、离休费、退休费、生活补助、奖励金等；公用经费</w:t>
      </w:r>
      <w:r>
        <w:rPr>
          <w:rFonts w:hint="eastAsia"/>
          <w:color w:val="000000"/>
          <w:sz w:val="30"/>
          <w:lang w:val="en-US" w:eastAsia="zh-CN"/>
        </w:rPr>
        <w:t>224.14</w:t>
      </w:r>
      <w:r>
        <w:rPr>
          <w:color w:val="000000"/>
          <w:sz w:val="30"/>
        </w:rPr>
        <w:t>万元，主要包括办公费、水费、电费、公务接待费、公务用车运行维护费、委托业务费、邮电费、租赁费、其他交通费用、物业管理费、工会经费、福利费、其他商品和服务支出、以及办公设备购置等。</w:t>
      </w:r>
    </w:p>
    <w:p>
      <w:pPr>
        <w:spacing w:after="100" w:line="620" w:lineRule="exact"/>
        <w:ind w:firstLine="840"/>
        <w:jc w:val="both"/>
        <w:rPr>
          <w:rFonts w:hint="eastAsia" w:eastAsiaTheme="minorEastAsia"/>
          <w:lang w:eastAsia="zh-CN"/>
        </w:rPr>
      </w:pPr>
      <w:r>
        <w:rPr>
          <w:color w:val="000000"/>
          <w:sz w:val="32"/>
        </w:rPr>
        <w:t>（2）2021年项目支出</w:t>
      </w:r>
      <w:r>
        <w:rPr>
          <w:rFonts w:hint="eastAsia"/>
          <w:color w:val="000000"/>
          <w:sz w:val="32"/>
          <w:lang w:val="en-US" w:eastAsia="zh-CN"/>
        </w:rPr>
        <w:t>12</w:t>
      </w:r>
      <w:r>
        <w:rPr>
          <w:color w:val="000000"/>
          <w:sz w:val="32"/>
        </w:rPr>
        <w:t>万元，比2020年</w:t>
      </w:r>
      <w:r>
        <w:rPr>
          <w:rFonts w:hint="eastAsia"/>
          <w:color w:val="000000"/>
          <w:sz w:val="32"/>
          <w:lang w:eastAsia="zh-CN"/>
        </w:rPr>
        <w:t>减少</w:t>
      </w:r>
      <w:r>
        <w:rPr>
          <w:rFonts w:hint="eastAsia"/>
          <w:color w:val="000000"/>
          <w:sz w:val="32"/>
          <w:lang w:val="en-US" w:eastAsia="zh-CN"/>
        </w:rPr>
        <w:t>1470</w:t>
      </w:r>
      <w:r>
        <w:rPr>
          <w:color w:val="000000"/>
          <w:sz w:val="32"/>
        </w:rPr>
        <w:t>万元，主要</w:t>
      </w:r>
      <w:r>
        <w:rPr>
          <w:rFonts w:hint="eastAsia"/>
          <w:color w:val="000000"/>
          <w:sz w:val="32"/>
          <w:lang w:eastAsia="zh-CN"/>
        </w:rPr>
        <w:t>是公路建设项目的减少。</w:t>
      </w:r>
    </w:p>
    <w:p>
      <w:pPr>
        <w:spacing w:line="600" w:lineRule="exact"/>
        <w:ind w:firstLine="720"/>
        <w:jc w:val="left"/>
      </w:pPr>
      <w:r>
        <w:rPr>
          <w:color w:val="000000"/>
          <w:sz w:val="30"/>
        </w:rPr>
        <w:t>（三）政府性基金预算情况</w:t>
      </w:r>
    </w:p>
    <w:p>
      <w:pPr>
        <w:spacing w:line="700" w:lineRule="exact"/>
        <w:ind w:firstLine="680"/>
        <w:jc w:val="both"/>
        <w:sectPr>
          <w:headerReference r:id="rId6" w:type="default"/>
          <w:footerReference r:id="rId7" w:type="default"/>
          <w:type w:val="continuous"/>
          <w:pgSz w:w="11900" w:h="16840"/>
          <w:pgMar w:top="1380" w:right="1460" w:bottom="1380" w:left="1460" w:header="0" w:footer="1380" w:gutter="0"/>
          <w:pgNumType w:fmt="decimal"/>
          <w:cols w:space="720" w:num="1"/>
          <w:titlePg/>
          <w:docGrid w:type="lines" w:linePitch="312" w:charSpace="0"/>
        </w:sectPr>
      </w:pPr>
      <w:r>
        <w:rPr>
          <w:color w:val="000000"/>
          <w:sz w:val="34"/>
        </w:rPr>
        <w:t>我</w:t>
      </w:r>
      <w:r>
        <w:rPr>
          <w:rFonts w:hint="eastAsia"/>
          <w:color w:val="000000"/>
          <w:sz w:val="34"/>
          <w:lang w:val="en-US" w:eastAsia="zh-CN"/>
        </w:rPr>
        <w:t>单位</w:t>
      </w:r>
      <w:r>
        <w:rPr>
          <w:color w:val="000000"/>
          <w:sz w:val="34"/>
        </w:rPr>
        <w:t>2021年没有政府性基金预算收入和使用政府性基金预算拨款安排的支出。</w:t>
      </w:r>
    </w:p>
    <w:p>
      <w:pPr>
        <w:pStyle w:val="3"/>
        <w:bidi w:val="0"/>
      </w:pPr>
      <w:bookmarkStart w:id="6" w:name="_Toc27931"/>
      <w:r>
        <w:t>二、“三公”经费情况</w:t>
      </w:r>
      <w:bookmarkEnd w:id="6"/>
    </w:p>
    <w:p>
      <w:pPr>
        <w:spacing w:after="80" w:line="600" w:lineRule="exact"/>
        <w:ind w:firstLine="640"/>
        <w:jc w:val="both"/>
      </w:pPr>
      <w:r>
        <w:rPr>
          <w:color w:val="000000"/>
          <w:sz w:val="32"/>
        </w:rPr>
        <w:t>2021年一般公共预算安排的“三公”经费预算</w:t>
      </w:r>
      <w:r>
        <w:rPr>
          <w:rFonts w:hint="eastAsia"/>
          <w:color w:val="000000"/>
          <w:sz w:val="32"/>
          <w:lang w:val="en-US" w:eastAsia="zh-CN"/>
        </w:rPr>
        <w:t>8</w:t>
      </w:r>
      <w:r>
        <w:rPr>
          <w:color w:val="000000"/>
          <w:sz w:val="32"/>
        </w:rPr>
        <w:t>万元，与2020相比增加</w:t>
      </w:r>
      <w:r>
        <w:rPr>
          <w:rFonts w:hint="eastAsia"/>
          <w:color w:val="000000"/>
          <w:sz w:val="32"/>
          <w:lang w:val="en-US" w:eastAsia="zh-CN"/>
        </w:rPr>
        <w:t>2</w:t>
      </w:r>
      <w:r>
        <w:rPr>
          <w:color w:val="000000"/>
          <w:sz w:val="32"/>
        </w:rPr>
        <w:t>万元，增长原因为新增下属事业单位。其中，因公出国（境）费用0万元，和上年相同；公务用车运行维护费</w:t>
      </w:r>
      <w:r>
        <w:rPr>
          <w:rFonts w:hint="eastAsia"/>
          <w:color w:val="000000"/>
          <w:sz w:val="32"/>
          <w:lang w:val="en-US" w:eastAsia="zh-CN"/>
        </w:rPr>
        <w:t>8</w:t>
      </w:r>
      <w:r>
        <w:rPr>
          <w:color w:val="000000"/>
          <w:sz w:val="32"/>
        </w:rPr>
        <w:t>万元，较上年增加2万，</w:t>
      </w:r>
      <w:r>
        <w:rPr>
          <w:rFonts w:hint="eastAsia"/>
          <w:color w:val="000000"/>
          <w:sz w:val="32"/>
          <w:lang w:eastAsia="zh-CN"/>
        </w:rPr>
        <w:t>交通运输</w:t>
      </w:r>
      <w:r>
        <w:rPr>
          <w:color w:val="000000"/>
          <w:sz w:val="32"/>
        </w:rPr>
        <w:t>局本级</w:t>
      </w:r>
      <w:r>
        <w:rPr>
          <w:rFonts w:hint="eastAsia"/>
          <w:color w:val="000000"/>
          <w:sz w:val="32"/>
          <w:lang w:eastAsia="zh-CN"/>
        </w:rPr>
        <w:t>与上年相同</w:t>
      </w:r>
      <w:r>
        <w:rPr>
          <w:color w:val="000000"/>
          <w:sz w:val="32"/>
        </w:rPr>
        <w:t>，新增下属事业单位增加</w:t>
      </w:r>
      <w:r>
        <w:rPr>
          <w:rFonts w:hint="eastAsia"/>
          <w:color w:val="000000"/>
          <w:sz w:val="32"/>
          <w:lang w:val="en-US" w:eastAsia="zh-CN"/>
        </w:rPr>
        <w:t>2</w:t>
      </w:r>
      <w:r>
        <w:rPr>
          <w:color w:val="000000"/>
          <w:sz w:val="32"/>
        </w:rPr>
        <w:t>万元；公务用车购置费0万元，和上年相同。本年将认真落实省政府真正过“紧日子”要求，进一步从严控制“三公”经费开支。</w:t>
      </w:r>
    </w:p>
    <w:p>
      <w:pPr>
        <w:pStyle w:val="3"/>
        <w:bidi w:val="0"/>
      </w:pPr>
      <w:bookmarkStart w:id="7" w:name="_Toc6921"/>
      <w:r>
        <w:t>三、机关运行经费情况</w:t>
      </w:r>
      <w:bookmarkEnd w:id="7"/>
    </w:p>
    <w:p>
      <w:pPr>
        <w:spacing w:after="80" w:line="600" w:lineRule="exact"/>
        <w:ind w:firstLine="640"/>
        <w:jc w:val="both"/>
      </w:pPr>
      <w:r>
        <w:rPr>
          <w:color w:val="000000"/>
          <w:sz w:val="32"/>
        </w:rPr>
        <w:t>2021年，忻州市</w:t>
      </w:r>
      <w:r>
        <w:rPr>
          <w:rFonts w:hint="eastAsia"/>
          <w:color w:val="000000"/>
          <w:sz w:val="32"/>
          <w:lang w:eastAsia="zh-CN"/>
        </w:rPr>
        <w:t>交通运输局</w:t>
      </w:r>
      <w:r>
        <w:rPr>
          <w:color w:val="000000"/>
          <w:sz w:val="32"/>
        </w:rPr>
        <w:t>本级</w:t>
      </w:r>
      <w:r>
        <w:rPr>
          <w:rFonts w:hint="eastAsia"/>
          <w:color w:val="000000"/>
          <w:sz w:val="32"/>
          <w:lang w:eastAsia="zh-CN"/>
        </w:rPr>
        <w:t>（包括因机构改革，合并预算的三个二级单位）</w:t>
      </w:r>
      <w:r>
        <w:rPr>
          <w:color w:val="000000"/>
          <w:sz w:val="32"/>
        </w:rPr>
        <w:t>机关运行经费财政拨款预算为</w:t>
      </w:r>
      <w:r>
        <w:rPr>
          <w:rFonts w:hint="eastAsia"/>
          <w:color w:val="000000"/>
          <w:sz w:val="32"/>
          <w:lang w:val="en-US" w:eastAsia="zh-CN"/>
        </w:rPr>
        <w:t>224.14</w:t>
      </w:r>
      <w:r>
        <w:rPr>
          <w:color w:val="000000"/>
          <w:sz w:val="32"/>
        </w:rPr>
        <w:t>万元，比2020年预算增加15</w:t>
      </w:r>
      <w:r>
        <w:rPr>
          <w:rFonts w:hint="eastAsia"/>
          <w:color w:val="000000"/>
          <w:sz w:val="32"/>
          <w:lang w:val="en-US" w:eastAsia="zh-CN"/>
        </w:rPr>
        <w:t>1.23</w:t>
      </w:r>
      <w:r>
        <w:rPr>
          <w:color w:val="000000"/>
          <w:sz w:val="32"/>
        </w:rPr>
        <w:t>万元，主要是所属事业单位机构改革后人员合并增加，以及预算一体化改革后公用经费定额标准提升。</w:t>
      </w:r>
    </w:p>
    <w:p>
      <w:pPr>
        <w:pStyle w:val="3"/>
        <w:bidi w:val="0"/>
      </w:pPr>
      <w:bookmarkStart w:id="8" w:name="_Toc17085"/>
      <w:r>
        <w:t>四、政府采购情况</w:t>
      </w:r>
      <w:bookmarkEnd w:id="8"/>
    </w:p>
    <w:p>
      <w:pPr>
        <w:spacing w:after="80" w:line="600" w:lineRule="exact"/>
        <w:ind w:firstLine="640"/>
        <w:jc w:val="both"/>
      </w:pPr>
      <w:r>
        <w:rPr>
          <w:color w:val="000000"/>
          <w:sz w:val="32"/>
        </w:rPr>
        <w:t>2021年忻州市</w:t>
      </w:r>
      <w:r>
        <w:rPr>
          <w:rFonts w:hint="eastAsia"/>
          <w:color w:val="000000"/>
          <w:sz w:val="32"/>
          <w:lang w:eastAsia="zh-CN"/>
        </w:rPr>
        <w:t>交通运输</w:t>
      </w:r>
      <w:r>
        <w:rPr>
          <w:color w:val="000000"/>
          <w:sz w:val="32"/>
        </w:rPr>
        <w:t>局各单位政府采购预算总额</w:t>
      </w:r>
      <w:r>
        <w:rPr>
          <w:rFonts w:hint="eastAsia"/>
          <w:color w:val="000000"/>
          <w:sz w:val="32"/>
          <w:lang w:val="en-US" w:eastAsia="zh-CN"/>
        </w:rPr>
        <w:t>6</w:t>
      </w:r>
      <w:r>
        <w:rPr>
          <w:color w:val="000000"/>
          <w:sz w:val="32"/>
        </w:rPr>
        <w:t>万元。其中：政府采购货物预算</w:t>
      </w:r>
      <w:r>
        <w:rPr>
          <w:rFonts w:hint="eastAsia"/>
          <w:color w:val="000000"/>
          <w:sz w:val="32"/>
          <w:lang w:val="en-US" w:eastAsia="zh-CN"/>
        </w:rPr>
        <w:t>6</w:t>
      </w:r>
      <w:r>
        <w:rPr>
          <w:color w:val="000000"/>
          <w:sz w:val="32"/>
        </w:rPr>
        <w:t>万元、政府采购工程预算0万元、政府采购服务预算</w:t>
      </w:r>
      <w:r>
        <w:rPr>
          <w:rFonts w:hint="eastAsia"/>
          <w:color w:val="000000"/>
          <w:sz w:val="32"/>
          <w:lang w:val="en-US" w:eastAsia="zh-CN"/>
        </w:rPr>
        <w:t>0</w:t>
      </w:r>
      <w:r>
        <w:rPr>
          <w:color w:val="000000"/>
          <w:sz w:val="32"/>
        </w:rPr>
        <w:t>万元。</w:t>
      </w:r>
    </w:p>
    <w:p>
      <w:pPr>
        <w:pStyle w:val="3"/>
        <w:bidi w:val="0"/>
        <w:sectPr>
          <w:footerReference r:id="rId8" w:type="default"/>
          <w:type w:val="continuous"/>
          <w:pgSz w:w="11900" w:h="16840"/>
          <w:pgMar w:top="1380" w:right="1640" w:bottom="1380" w:left="1640" w:header="0" w:footer="1380" w:gutter="0"/>
          <w:pgNumType w:fmt="decimal"/>
          <w:cols w:space="720" w:num="1"/>
          <w:docGrid w:type="lines" w:linePitch="312" w:charSpace="0"/>
        </w:sectPr>
      </w:pPr>
      <w:bookmarkStart w:id="9" w:name="_Toc12758"/>
      <w:r>
        <w:t>五、绩效管理情况</w:t>
      </w:r>
      <w:r>
        <mc:AlternateContent>
          <mc:Choice Requires="wps">
            <w:drawing>
              <wp:anchor distT="0" distB="0" distL="114300" distR="114300" simplePos="0" relativeHeight="251661312" behindDoc="0" locked="0" layoutInCell="1" allowOverlap="1">
                <wp:simplePos x="0" y="0"/>
                <wp:positionH relativeFrom="page">
                  <wp:posOffset>3175000</wp:posOffset>
                </wp:positionH>
                <wp:positionV relativeFrom="paragraph">
                  <wp:posOffset>8724900</wp:posOffset>
                </wp:positionV>
                <wp:extent cx="1143000" cy="3048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pPr>
                            <w:r>
                              <w:rPr>
                                <w:color w:val="000000"/>
                                <w:sz w:val="20"/>
                              </w:rPr>
                              <w:t>第8页共13页</w:t>
                            </w:r>
                          </w:p>
                        </w:txbxContent>
                      </wps:txbx>
                      <wps:bodyPr lIns="25400" tIns="0" rIns="25400" bIns="0">
                        <a:noAutofit/>
                      </wps:bodyPr>
                    </wps:wsp>
                  </a:graphicData>
                </a:graphic>
              </wp:anchor>
            </w:drawing>
          </mc:Choice>
          <mc:Fallback>
            <w:pict>
              <v:shape id="文本框 2" o:spid="_x0000_s1026" o:spt="202" type="#_x0000_t202" style="position:absolute;left:0pt;margin-left:250pt;margin-top:687pt;height:24pt;width:90pt;mso-position-horizontal-relative:page;z-index:251661312;mso-width-relative:page;mso-height-relative:page;" filled="f" stroked="f" coordsize="21600,21600" o:gfxdata="UEsDBAoAAAAAAIdO4kAAAAAAAAAAAAAAAAAEAAAAZHJzL1BLAwQUAAAACACHTuJA6O7DNtkAAAAN&#10;AQAADwAAAGRycy9kb3ducmV2LnhtbE1Py07DMBC8I/EP1iJxo3ZCW6IQpwIkRBFcWl5XN16SiHgd&#10;xW6T/j3bE9x2HpqdKVaT68QBh9B60pDMFAikytuWag3vb49XGYgQDVnTeUINRwywKs/PCpNbP9IG&#10;D9tYCw6hkBsNTYx9LmWoGnQmzHyPxNq3H5yJDIda2sGMHO46mSq1lM60xB8a0+NDg9XPdu803GdP&#10;6/Hu4+tlahabz+eEwvr4GrS+vEjULYiIU/wzw6k+V4eSO+38nmwQnYaFUrwlsnB9M+eLLcvsRO2Y&#10;mqepAlkW8v+K8hdQSwMEFAAAAAgAh07iQJhStZ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RIjTRQM&#10;/Pzr5/n33/OfH6iM8gzWN5B1ZyEvjO/NCEvz4PfgjKxH7lT8Ah8U43VeXF2DxKcWl0W1qorlJDQb&#10;A6KQAM5yVUNFChlVdV2Xq5SRPUJZ58MHZhSKRosdTDIJTI6ffIC2IPUhJVbW5lZImaYpNRpaXFfL&#10;PD24ROCF1PAwEpoaj1YYd+PMcme6E5CUHzUIXC6v8rgw6QKGe+rdzd6p8rtDMFykpiLiBDMXgrGl&#10;XucVi3vx9J6yHn+r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7sM22QAAAA0BAAAPAAAAAAAA&#10;AAEAIAAAACIAAABkcnMvZG93bnJldi54bWxQSwECFAAUAAAACACHTuJAmFK1k9gBAACeAwAADgAA&#10;AAAAAAABACAAAAAoAQAAZHJzL2Uyb0RvYy54bWxQSwUGAAAAAAYABgBZAQAAcgUAAAAA&#10;">
                <v:fill on="f" focussize="0,0"/>
                <v:stroke on="f" weight="0.5pt"/>
                <v:imagedata o:title=""/>
                <o:lock v:ext="edit" aspectratio="f"/>
                <v:textbox inset="2pt,0mm,2pt,0mm">
                  <w:txbxContent>
                    <w:p>
                      <w:pPr>
                        <w:spacing w:line="360" w:lineRule="exact"/>
                        <w:jc w:val="center"/>
                      </w:pPr>
                      <w:r>
                        <w:rPr>
                          <w:color w:val="000000"/>
                          <w:sz w:val="20"/>
                        </w:rPr>
                        <w:t>第8页共13页</w:t>
                      </w:r>
                    </w:p>
                  </w:txbxContent>
                </v:textbox>
              </v:shape>
            </w:pict>
          </mc:Fallback>
        </mc:AlternateContent>
      </w:r>
      <w:bookmarkEnd w:id="9"/>
    </w:p>
    <w:p>
      <w:pPr>
        <w:spacing w:after="80" w:line="600" w:lineRule="exact"/>
        <w:ind w:firstLine="640"/>
        <w:jc w:val="both"/>
        <w:rPr>
          <w:rFonts w:hint="default"/>
          <w:color w:val="000000"/>
          <w:sz w:val="32"/>
          <w:lang w:val="en-US" w:eastAsia="zh-CN"/>
        </w:rPr>
      </w:pPr>
      <w:r>
        <w:rPr>
          <w:color w:val="000000"/>
          <w:sz w:val="32"/>
        </w:rPr>
        <w:t>2021年忻州市</w:t>
      </w:r>
      <w:r>
        <w:rPr>
          <w:rFonts w:hint="eastAsia"/>
          <w:color w:val="000000"/>
          <w:sz w:val="32"/>
          <w:lang w:eastAsia="zh-CN"/>
        </w:rPr>
        <w:t>交通运输</w:t>
      </w:r>
      <w:r>
        <w:rPr>
          <w:color w:val="000000"/>
          <w:sz w:val="32"/>
        </w:rPr>
        <w:t>局实施绩效目标管理的</w:t>
      </w:r>
      <w:r>
        <w:rPr>
          <w:rFonts w:hint="eastAsia"/>
          <w:color w:val="000000"/>
          <w:sz w:val="32"/>
          <w:lang w:eastAsia="zh-CN"/>
        </w:rPr>
        <w:t>重点</w:t>
      </w:r>
      <w:r>
        <w:rPr>
          <w:color w:val="000000"/>
          <w:sz w:val="32"/>
        </w:rPr>
        <w:t>项目</w:t>
      </w:r>
      <w:r>
        <w:rPr>
          <w:rFonts w:hint="eastAsia"/>
          <w:color w:val="000000"/>
          <w:sz w:val="32"/>
          <w:lang w:val="en-US" w:eastAsia="zh-CN"/>
        </w:rPr>
        <w:t>4</w:t>
      </w:r>
      <w:r>
        <w:rPr>
          <w:color w:val="000000"/>
          <w:sz w:val="32"/>
        </w:rPr>
        <w:t>个，包括：</w:t>
      </w:r>
      <w:r>
        <w:rPr>
          <w:rFonts w:hint="eastAsia"/>
          <w:color w:val="000000"/>
          <w:sz w:val="32"/>
          <w:lang w:eastAsia="zh-CN"/>
        </w:rPr>
        <w:t>定襄到凤凰山景区道路项目、五台山机场路建设项目、国道</w:t>
      </w:r>
      <w:r>
        <w:rPr>
          <w:rFonts w:hint="eastAsia"/>
          <w:color w:val="000000"/>
          <w:sz w:val="32"/>
          <w:lang w:val="en-US" w:eastAsia="zh-CN"/>
        </w:rPr>
        <w:t>108线道路改建项目、太忻大道建设工程前期费。</w:t>
      </w:r>
    </w:p>
    <w:p>
      <w:pPr>
        <w:spacing w:after="80" w:line="600" w:lineRule="exact"/>
        <w:ind w:firstLine="640"/>
        <w:jc w:val="both"/>
        <w:rPr>
          <w:color w:val="000000"/>
          <w:sz w:val="32"/>
        </w:rPr>
      </w:pPr>
      <w:r>
        <w:rPr>
          <w:color w:val="000000"/>
          <w:sz w:val="32"/>
        </w:rPr>
        <w:t>2、绩效目标情况</w:t>
      </w:r>
    </w:p>
    <w:p>
      <w:pPr>
        <w:spacing w:after="80" w:line="600" w:lineRule="exact"/>
        <w:ind w:firstLine="640"/>
        <w:jc w:val="both"/>
        <w:rPr>
          <w:color w:val="000000"/>
          <w:sz w:val="32"/>
        </w:rPr>
      </w:pPr>
      <w:r>
        <w:rPr>
          <w:color w:val="000000"/>
          <w:sz w:val="32"/>
        </w:rPr>
        <w:t>在实施绩效目标管理的项目中，资金较大的项目有</w:t>
      </w:r>
      <w:r>
        <w:rPr>
          <w:rFonts w:hint="eastAsia"/>
          <w:color w:val="000000"/>
          <w:sz w:val="32"/>
          <w:lang w:eastAsia="zh-CN"/>
        </w:rPr>
        <w:t>国道</w:t>
      </w:r>
      <w:r>
        <w:rPr>
          <w:rFonts w:hint="eastAsia"/>
          <w:color w:val="000000"/>
          <w:sz w:val="32"/>
          <w:lang w:val="en-US" w:eastAsia="zh-CN"/>
        </w:rPr>
        <w:t>108线道路改建项目、</w:t>
      </w:r>
      <w:r>
        <w:rPr>
          <w:rFonts w:hint="eastAsia"/>
          <w:color w:val="000000"/>
          <w:sz w:val="32"/>
          <w:lang w:eastAsia="zh-CN"/>
        </w:rPr>
        <w:t>五台山机场路建设项目、定襄到凤凰山景区道路项目。</w:t>
      </w:r>
    </w:p>
    <w:p>
      <w:pPr>
        <w:pStyle w:val="3"/>
        <w:bidi w:val="0"/>
      </w:pPr>
      <w:bookmarkStart w:id="10" w:name="_Toc479"/>
      <w:r>
        <w:t>六、国有资产占有使用情况</w:t>
      </w:r>
      <w:bookmarkEnd w:id="10"/>
    </w:p>
    <w:p>
      <w:pPr>
        <w:spacing w:line="660" w:lineRule="exact"/>
        <w:ind w:firstLine="660"/>
        <w:jc w:val="left"/>
        <w:sectPr>
          <w:headerReference r:id="rId9" w:type="default"/>
          <w:footerReference r:id="rId10" w:type="default"/>
          <w:type w:val="continuous"/>
          <w:pgSz w:w="11900" w:h="16840"/>
          <w:pgMar w:top="1180" w:right="1400" w:bottom="1180" w:left="1400" w:header="0" w:footer="1180" w:gutter="0"/>
          <w:pgNumType w:fmt="decimal"/>
          <w:cols w:space="720" w:num="1"/>
          <w:titlePg/>
          <w:docGrid w:type="lines" w:linePitch="312" w:charSpace="0"/>
        </w:sectPr>
      </w:pPr>
      <w:r>
        <w:rPr>
          <w:color w:val="000000"/>
          <w:sz w:val="34"/>
        </w:rPr>
        <w:t>1．车辆情况</w:t>
      </w:r>
    </w:p>
    <w:p>
      <w:pPr>
        <w:spacing w:after="80" w:line="600" w:lineRule="exact"/>
        <w:ind w:firstLine="640"/>
        <w:jc w:val="both"/>
        <w:rPr>
          <w:rFonts w:hint="default"/>
          <w:color w:val="000000"/>
          <w:sz w:val="32"/>
          <w:lang w:val="en-US" w:eastAsia="zh-CN"/>
        </w:rPr>
      </w:pPr>
      <w:r>
        <w:rPr>
          <w:color w:val="000000"/>
          <w:sz w:val="30"/>
        </w:rPr>
        <w:t>公务用车制度改革后，</w:t>
      </w:r>
      <w:r>
        <w:rPr>
          <w:rFonts w:hint="eastAsia"/>
          <w:color w:val="000000"/>
          <w:sz w:val="30"/>
          <w:lang w:eastAsia="zh-CN"/>
        </w:rPr>
        <w:t>交通运输</w:t>
      </w:r>
      <w:r>
        <w:rPr>
          <w:color w:val="000000"/>
          <w:sz w:val="30"/>
        </w:rPr>
        <w:t>局本级受市政府机关公务用车管理服务中心委托管理的车辆为2辆。新增下属事业单位</w:t>
      </w:r>
      <w:r>
        <w:rPr>
          <w:rFonts w:hint="eastAsia"/>
          <w:color w:val="000000"/>
          <w:sz w:val="30"/>
          <w:lang w:val="en-US" w:eastAsia="zh-CN"/>
        </w:rPr>
        <w:t>4辆</w:t>
      </w:r>
      <w:r>
        <w:rPr>
          <w:color w:val="000000"/>
          <w:sz w:val="30"/>
        </w:rPr>
        <w:t>（</w:t>
      </w:r>
      <w:r>
        <w:rPr>
          <w:rFonts w:hint="eastAsia"/>
          <w:color w:val="000000"/>
          <w:sz w:val="32"/>
          <w:lang w:eastAsia="zh-CN"/>
        </w:rPr>
        <w:t>忻州市交通建设中心车</w:t>
      </w:r>
      <w:r>
        <w:rPr>
          <w:rFonts w:hint="eastAsia"/>
          <w:color w:val="000000"/>
          <w:sz w:val="32"/>
          <w:lang w:val="en-US" w:eastAsia="zh-CN"/>
        </w:rPr>
        <w:t>1辆、忻州市邮政业安全中心车1辆、忻州市交通运输运行监测与应急处置中心2辆）。</w:t>
      </w:r>
    </w:p>
    <w:p>
      <w:pPr>
        <w:spacing w:after="80" w:line="600" w:lineRule="exact"/>
        <w:ind w:firstLine="640"/>
        <w:jc w:val="both"/>
        <w:rPr>
          <w:color w:val="000000"/>
          <w:sz w:val="32"/>
        </w:rPr>
      </w:pPr>
      <w:r>
        <w:rPr>
          <w:color w:val="000000"/>
          <w:sz w:val="32"/>
        </w:rPr>
        <w:t>2．房屋情况</w:t>
      </w:r>
    </w:p>
    <w:p>
      <w:pPr>
        <w:spacing w:line="620" w:lineRule="exact"/>
        <w:ind w:firstLine="620"/>
        <w:jc w:val="left"/>
        <w:rPr>
          <w:rFonts w:hint="default" w:eastAsiaTheme="minorEastAsia"/>
          <w:lang w:val="en-US" w:eastAsia="zh-CN"/>
        </w:rPr>
      </w:pPr>
      <w:r>
        <w:rPr>
          <w:color w:val="000000"/>
          <w:sz w:val="32"/>
        </w:rPr>
        <w:t>我局机关办公用房面积合计</w:t>
      </w:r>
      <w:r>
        <w:rPr>
          <w:rFonts w:hint="eastAsia"/>
          <w:color w:val="000000"/>
          <w:sz w:val="32"/>
          <w:lang w:val="en-US" w:eastAsia="zh-CN"/>
        </w:rPr>
        <w:t>17468</w:t>
      </w:r>
      <w:r>
        <w:rPr>
          <w:color w:val="000000"/>
          <w:sz w:val="32"/>
        </w:rPr>
        <w:t>平方米</w:t>
      </w:r>
      <w:r>
        <w:rPr>
          <w:rFonts w:hint="eastAsia"/>
          <w:color w:val="000000"/>
          <w:sz w:val="32"/>
          <w:lang w:eastAsia="zh-CN"/>
        </w:rPr>
        <w:t>，其中：办公用房</w:t>
      </w:r>
      <w:r>
        <w:rPr>
          <w:rFonts w:hint="eastAsia"/>
          <w:color w:val="000000"/>
          <w:sz w:val="32"/>
          <w:lang w:val="en-US" w:eastAsia="zh-CN"/>
        </w:rPr>
        <w:t>4197平方米，业务用房8300平方米、其他用房4971平方米。</w:t>
      </w:r>
    </w:p>
    <w:p>
      <w:pPr>
        <w:spacing w:line="600" w:lineRule="exact"/>
        <w:ind w:firstLine="620"/>
        <w:jc w:val="left"/>
      </w:pPr>
      <w:r>
        <w:rPr>
          <w:color w:val="000000"/>
          <w:sz w:val="32"/>
        </w:rPr>
        <w:t>3．其他国有资产占有使用情况</w:t>
      </w:r>
    </w:p>
    <w:p>
      <w:pPr>
        <w:spacing w:after="60" w:line="620" w:lineRule="exact"/>
        <w:ind w:firstLine="620"/>
        <w:jc w:val="both"/>
        <w:rPr>
          <w:rFonts w:hint="default" w:eastAsiaTheme="minorEastAsia"/>
          <w:lang w:val="en-US" w:eastAsia="zh-CN"/>
        </w:rPr>
      </w:pPr>
      <w:r>
        <w:rPr>
          <w:color w:val="000000"/>
          <w:sz w:val="32"/>
        </w:rPr>
        <w:t>我局</w:t>
      </w:r>
      <w:r>
        <w:rPr>
          <w:rFonts w:hint="eastAsia"/>
          <w:color w:val="000000"/>
          <w:sz w:val="32"/>
          <w:lang w:val="en-US" w:eastAsia="zh-CN"/>
        </w:rPr>
        <w:t>2021年</w:t>
      </w:r>
      <w:r>
        <w:rPr>
          <w:rFonts w:hint="eastAsia"/>
          <w:color w:val="000000"/>
          <w:sz w:val="32"/>
          <w:lang w:eastAsia="zh-CN"/>
        </w:rPr>
        <w:t>固定资产</w:t>
      </w:r>
      <w:r>
        <w:rPr>
          <w:rFonts w:hint="eastAsia"/>
          <w:color w:val="000000"/>
          <w:sz w:val="32"/>
          <w:lang w:val="en-US" w:eastAsia="zh-CN"/>
        </w:rPr>
        <w:t>原值21845331.72元，固定资产累计折旧13665054.77元，固定资产净值8180276.95元。</w:t>
      </w:r>
    </w:p>
    <w:p>
      <w:pPr>
        <w:spacing w:line="620" w:lineRule="exact"/>
        <w:ind w:firstLine="620"/>
        <w:jc w:val="left"/>
      </w:pPr>
      <w:r>
        <w:rPr>
          <w:color w:val="000000"/>
          <w:sz w:val="32"/>
        </w:rPr>
        <w:t>七、政府购买服务指导性目录</w:t>
      </w:r>
    </w:p>
    <w:p>
      <w:pPr>
        <w:spacing w:after="240" w:line="620" w:lineRule="exact"/>
        <w:ind w:firstLine="620"/>
        <w:jc w:val="both"/>
        <w:rPr>
          <w:rFonts w:hint="default" w:eastAsiaTheme="minorEastAsia"/>
          <w:lang w:val="en-US" w:eastAsia="zh-CN"/>
        </w:rPr>
      </w:pPr>
      <w:r>
        <w:rPr>
          <w:color w:val="000000"/>
          <w:sz w:val="32"/>
        </w:rPr>
        <w:t>忻州市</w:t>
      </w:r>
      <w:r>
        <w:rPr>
          <w:rFonts w:hint="eastAsia"/>
          <w:color w:val="000000"/>
          <w:sz w:val="32"/>
          <w:lang w:eastAsia="zh-CN"/>
        </w:rPr>
        <w:t>交通运输</w:t>
      </w:r>
      <w:r>
        <w:rPr>
          <w:color w:val="000000"/>
          <w:sz w:val="32"/>
        </w:rPr>
        <w:t>局</w:t>
      </w:r>
      <w:r>
        <w:rPr>
          <w:rFonts w:hint="eastAsia"/>
          <w:color w:val="000000"/>
          <w:sz w:val="32"/>
          <w:lang w:val="en-US" w:eastAsia="zh-CN"/>
        </w:rPr>
        <w:t>2021年</w:t>
      </w:r>
      <w:r>
        <w:rPr>
          <w:color w:val="000000"/>
          <w:sz w:val="32"/>
        </w:rPr>
        <w:t>政府购买服务项目</w:t>
      </w:r>
      <w:r>
        <w:rPr>
          <w:rFonts w:hint="eastAsia"/>
          <w:color w:val="000000"/>
          <w:sz w:val="32"/>
          <w:lang w:eastAsia="zh-CN"/>
        </w:rPr>
        <w:t>为安保服务</w:t>
      </w:r>
      <w:r>
        <w:rPr>
          <w:color w:val="000000"/>
          <w:sz w:val="32"/>
        </w:rPr>
        <w:t>，</w:t>
      </w:r>
      <w:r>
        <w:rPr>
          <w:rFonts w:hint="eastAsia"/>
          <w:color w:val="000000"/>
          <w:sz w:val="32"/>
          <w:lang w:eastAsia="zh-CN"/>
        </w:rPr>
        <w:t>财政预算资金</w:t>
      </w:r>
      <w:r>
        <w:rPr>
          <w:rFonts w:hint="eastAsia"/>
          <w:color w:val="000000"/>
          <w:sz w:val="32"/>
          <w:lang w:val="en-US" w:eastAsia="zh-CN"/>
        </w:rPr>
        <w:t>12万元。</w:t>
      </w:r>
    </w:p>
    <w:p>
      <w:pPr>
        <w:pStyle w:val="2"/>
        <w:bidi w:val="0"/>
        <w:jc w:val="center"/>
      </w:pPr>
      <w:bookmarkStart w:id="11" w:name="_Toc2546"/>
    </w:p>
    <w:p>
      <w:pPr>
        <w:pStyle w:val="2"/>
        <w:bidi w:val="0"/>
        <w:jc w:val="both"/>
      </w:pPr>
    </w:p>
    <w:p>
      <w:pPr>
        <w:pStyle w:val="2"/>
        <w:bidi w:val="0"/>
        <w:ind w:firstLine="1767" w:firstLineChars="400"/>
        <w:jc w:val="both"/>
      </w:pPr>
      <w:r>
        <w:t>第四部分 名词解释</w:t>
      </w:r>
      <w:bookmarkEnd w:id="11"/>
    </w:p>
    <w:p>
      <w:pPr>
        <w:spacing w:line="600" w:lineRule="exact"/>
        <w:ind w:firstLine="620"/>
        <w:jc w:val="both"/>
      </w:pPr>
      <w:r>
        <w:rPr>
          <w:color w:val="000000"/>
          <w:sz w:val="32"/>
        </w:rPr>
        <w:t>一、基本支出：指为保障机构正常运转、完成日常工作任务而发生的人员支出和公用支出。</w:t>
      </w:r>
    </w:p>
    <w:p>
      <w:pPr>
        <w:spacing w:line="600" w:lineRule="exact"/>
        <w:ind w:firstLine="620"/>
        <w:jc w:val="both"/>
      </w:pPr>
      <w:r>
        <w:rPr>
          <w:color w:val="000000"/>
          <w:sz w:val="32"/>
        </w:rPr>
        <w:t>二、项目支出：指在基本支出之外为完成特定行政任务和事业发展目标所发生的支出。</w:t>
      </w:r>
    </w:p>
    <w:p>
      <w:pPr>
        <w:spacing w:line="600" w:lineRule="exact"/>
        <w:ind w:firstLine="620"/>
        <w:jc w:val="both"/>
        <w:sectPr>
          <w:footerReference r:id="rId11" w:type="default"/>
          <w:type w:val="continuous"/>
          <w:pgSz w:w="11900" w:h="16840"/>
          <w:pgMar w:top="1240" w:right="1640" w:bottom="1240" w:left="1640" w:header="0" w:footer="1240" w:gutter="0"/>
          <w:pgNumType w:fmt="decimal"/>
          <w:cols w:space="720" w:num="1"/>
          <w:docGrid w:type="lines" w:linePitch="312" w:charSpace="0"/>
        </w:sectPr>
      </w:pPr>
      <w:r>
        <w:rPr>
          <w:color w:val="000000"/>
          <w:sz w:val="32"/>
        </w:rPr>
        <w:t>三、“三公”经费：指市直部门用一般公共预算安排的因公出国（境）费、公务用车购置及运行费和公务接待费。其中，因公出国（境）费反映单位公务出国（境）的国际旅费、国外城市间交通费、住宿费、伙食费、培训费、公杂费</w:t>
      </w:r>
      <w:r>
        <mc:AlternateContent>
          <mc:Choice Requires="wps">
            <w:drawing>
              <wp:anchor distT="0" distB="0" distL="114300" distR="114300" simplePos="0" relativeHeight="251661312" behindDoc="0" locked="0" layoutInCell="1" allowOverlap="1">
                <wp:simplePos x="0" y="0"/>
                <wp:positionH relativeFrom="page">
                  <wp:posOffset>3187700</wp:posOffset>
                </wp:positionH>
                <wp:positionV relativeFrom="paragraph">
                  <wp:posOffset>9258300</wp:posOffset>
                </wp:positionV>
                <wp:extent cx="1206500" cy="304800"/>
                <wp:effectExtent l="0" t="0" r="635" b="14605"/>
                <wp:wrapNone/>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文本框 2" o:spid="_x0000_s1026" o:spt="202" type="#_x0000_t202" style="position:absolute;left:0pt;margin-left:251pt;margin-top:729pt;height:24pt;width:95pt;mso-position-horizontal-relative:page;z-index:251661312;mso-width-relative:page;mso-height-relative:page;" filled="f" stroked="f" coordsize="21600,21600" o:gfxdata="UEsDBAoAAAAAAIdO4kAAAAAAAAAAAAAAAAAEAAAAZHJzL1BLAwQUAAAACACHTuJAr7KmsNkAAAAN&#10;AQAADwAAAGRycy9kb3ducmV2LnhtbE1Py07DMBC8I/EP1iJxo3YqEoUQpwIkRBFcWl5XN16SiHgd&#10;xW6T/j3bE9x2HpqdKVez68UBx9B50pAsFAik2tuOGg3vb49XOYgQDVnTe0INRwywqs7PSlNYP9EG&#10;D9vYCA6hUBgNbYxDIWWoW3QmLPyAxNq3H52JDMdG2tFMHO56uVQqk850xB9aM+BDi/XPdu803OdP&#10;6+nu4+tlbtPN53NCYX18DVpfXiTqFkTEOf6Z4VSfq0PFnXZ+TzaIXkOqlrwlsnCd5nyxJbs5UTum&#10;UpUpkFUp/6+ofgFQSwMEFAAAAAgAh07iQN6iOeX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QojTRQM&#10;/Pzr5/n33/OfH6iM8gzWN5B1ZyEvjO/NCEvz4PfgjKxH7lT8Ah8U43VeXF2DxKcWl0W1qorlJDQb&#10;A6KQAM5yVS8xopBRVdd1uUoZ2SOUdT58YEahaLTYwSSTwOT4yQdoC1IfUmJlbW6FlGmaUqOhxXW1&#10;zNODSwReSA0PI6Gp8WiFcTfOLHemOwFJ+VGDwOXyKo8Lky5guKfe3eydKr87BMNFaioiTjBzIRhb&#10;6nVesbgXT+8p6/G32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7KmsNkAAAANAQAADwAAAAAA&#10;AAABACAAAAAiAAAAZHJzL2Rvd25yZXYueG1sUEsBAhQAFAAAAAgAh07iQN6iOeXZAQAAngMAAA4A&#10;AAAAAAAAAQAgAAAAKAEAAGRycy9lMm9Eb2MueG1sUEsFBgAAAAAGAAYAWQEAAHMFAAAAAA==&#10;">
                <v:fill on="f" focussize="0,0"/>
                <v:stroke on="f" weight="0.5pt"/>
                <v:imagedata o:title=""/>
                <o:lock v:ext="edit" aspectratio="f"/>
                <v:textbox inset="2pt,0mm,2pt,0mm">
                  <w:txbxContent>
                    <w:p/>
                  </w:txbxContent>
                </v:textbox>
              </v:shape>
            </w:pict>
          </mc:Fallback>
        </mc:AlternateContent>
      </w:r>
    </w:p>
    <w:p>
      <w:pPr>
        <w:spacing w:line="620" w:lineRule="exact"/>
        <w:ind w:firstLine="0"/>
        <w:jc w:val="both"/>
      </w:pPr>
      <w:r>
        <w:rPr>
          <w:color w:val="000000"/>
          <w:sz w:val="32"/>
        </w:rPr>
        <w:t>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60"/>
        <w:jc w:val="both"/>
      </w:pPr>
      <w:r>
        <w:rPr>
          <w:color w:val="000000"/>
          <w:sz w:val="32"/>
        </w:rPr>
        <w:t>四、机关运行经费：指行政单位和参照公务员法管理的事业单位使用一般公共预算安排的基本支出中的日常公用经费支出。</w:t>
      </w:r>
    </w:p>
    <w:p>
      <w:pPr>
        <w:spacing w:line="600" w:lineRule="exact"/>
        <w:ind w:firstLine="660"/>
        <w:jc w:val="both"/>
        <w:sectPr>
          <w:headerReference r:id="rId12" w:type="default"/>
          <w:footerReference r:id="rId13" w:type="default"/>
          <w:type w:val="continuous"/>
          <w:pgSz w:w="11900" w:h="16840"/>
          <w:pgMar w:top="1440" w:right="1600" w:bottom="1440" w:left="1600" w:header="0" w:footer="1440" w:gutter="0"/>
          <w:pgNumType w:fmt="decimal"/>
          <w:cols w:space="720" w:num="1"/>
          <w:titlePg/>
          <w:docGrid w:type="lines" w:linePitch="312" w:charSpace="0"/>
        </w:sectPr>
      </w:pPr>
      <w:r>
        <w:rPr>
          <w:color w:val="000000"/>
          <w:sz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sectPr>
      <w:type w:val="continuous"/>
      <w:pgSz w:w="11900" w:h="16840"/>
      <w:pgMar w:top="1440" w:right="1600" w:bottom="1440" w:left="1600" w:header="0" w:footer="144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5MDk2ZTE5MmM3NjY1YjVjNTRjYzVjZjFhNWM5MGEifQ=="/>
  </w:docVars>
  <w:rsids>
    <w:rsidRoot w:val="00BD0BC8"/>
    <w:rsid w:val="000D6051"/>
    <w:rsid w:val="009F0BE0"/>
    <w:rsid w:val="00BA6D97"/>
    <w:rsid w:val="00BD0BC8"/>
    <w:rsid w:val="0BE45F38"/>
    <w:rsid w:val="17E4721A"/>
    <w:rsid w:val="1C95323B"/>
    <w:rsid w:val="1EAD3009"/>
    <w:rsid w:val="2BC33F50"/>
    <w:rsid w:val="35CE17C9"/>
    <w:rsid w:val="441F1456"/>
    <w:rsid w:val="46F1776D"/>
    <w:rsid w:val="49020D66"/>
    <w:rsid w:val="4D67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2 Char"/>
    <w:link w:val="3"/>
    <w:uiPriority w:val="0"/>
    <w:rPr>
      <w:rFonts w:ascii="Arial" w:hAnsi="Arial" w:eastAsia="黑体"/>
      <w:b/>
      <w:sz w:val="32"/>
    </w:rPr>
  </w:style>
  <w:style w:type="character" w:customStyle="1" w:styleId="10">
    <w:name w:val="标题 1 Char"/>
    <w:link w:val="2"/>
    <w:uiPriority w:val="0"/>
    <w:rPr>
      <w:b/>
      <w:kern w:val="44"/>
      <w:sz w:val="44"/>
    </w:rPr>
  </w:style>
  <w:style w:type="paragraph" w:customStyle="1" w:styleId="11">
    <w:name w:val="WPSOffice手动目录 1"/>
    <w:uiPriority w:val="0"/>
    <w:pPr>
      <w:ind w:leftChars="0"/>
    </w:pPr>
    <w:rPr>
      <w:rFonts w:asciiTheme="minorHAnsi" w:hAnsiTheme="minorHAnsi" w:eastAsiaTheme="minorEastAsia" w:cstheme="minorBidi"/>
      <w:sz w:val="20"/>
      <w:szCs w:val="20"/>
    </w:rPr>
  </w:style>
  <w:style w:type="paragraph" w:customStyle="1" w:styleId="12">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3578</Words>
  <Characters>3833</Characters>
  <TotalTime>17</TotalTime>
  <ScaleCrop>false</ScaleCrop>
  <LinksUpToDate>false</LinksUpToDate>
  <CharactersWithSpaces>4036</CharactersWithSpaces>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2022-09-01T08:50:00Z</dcterms:created>
  <dc:creator>openxml-sdk </dc:creator>
  <dc:description>openxml-sdk, CCi Textin Word Converter, JL</dc:description>
  <cp:keywords>CCi</cp:keywords>
  <cp:lastModifiedBy>dell</cp:lastModifiedBy>
  <dcterms:modified xsi:type="dcterms:W3CDTF">2022-09-13T01:17:11Z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D33C39AC643A442FB6DC8E38CB5F94B6</vt:lpwstr>
  </property>
</Properties>
</file>