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48"/>
          <w:szCs w:val="48"/>
          <w:lang w:eastAsia="zh-CN"/>
        </w:rPr>
      </w:pPr>
      <w:r>
        <w:rPr>
          <w:rFonts w:hint="eastAsia" w:ascii="黑体" w:hAnsi="黑体" w:eastAsia="黑体" w:cs="黑体"/>
          <w:color w:val="000000"/>
          <w:sz w:val="48"/>
          <w:szCs w:val="48"/>
        </w:rPr>
        <w:t>忻州市</w:t>
      </w:r>
      <w:r>
        <w:rPr>
          <w:rFonts w:hint="eastAsia" w:ascii="黑体" w:hAnsi="黑体" w:eastAsia="黑体" w:cs="黑体"/>
          <w:color w:val="000000"/>
          <w:sz w:val="48"/>
          <w:szCs w:val="48"/>
          <w:lang w:eastAsia="zh-CN"/>
        </w:rPr>
        <w:t>交通运输综合行政执法队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8"/>
          <w:szCs w:val="48"/>
        </w:rPr>
      </w:pPr>
      <w:r>
        <w:rPr>
          <w:rFonts w:hint="eastAsia" w:ascii="黑体" w:hAnsi="黑体" w:eastAsia="黑体" w:cs="黑体"/>
          <w:color w:val="000000"/>
          <w:sz w:val="48"/>
          <w:szCs w:val="48"/>
        </w:rPr>
        <w:t>2021年度部门预算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48"/>
          <w:szCs w:val="4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hint="eastAsia" w:ascii="宋体" w:hAnsi="宋体" w:eastAsia="宋体"/>
          <w:color w:val="000000"/>
          <w:sz w:val="34"/>
        </w:rPr>
        <w:t>目</w:t>
      </w:r>
      <w:r>
        <w:rPr>
          <w:rFonts w:hint="eastAsia" w:ascii="宋体" w:hAnsi="宋体" w:eastAsia="宋体"/>
          <w:color w:val="000000"/>
          <w:sz w:val="34"/>
          <w:lang w:val="en-US" w:eastAsia="zh-CN"/>
        </w:rPr>
        <w:t xml:space="preserve">   </w:t>
      </w:r>
      <w:r>
        <w:rPr>
          <w:rFonts w:hint="eastAsia" w:ascii="宋体" w:hAnsi="宋体" w:eastAsia="宋体"/>
          <w:color w:val="000000"/>
          <w:sz w:val="34"/>
        </w:rPr>
        <w:t>录</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概况</w:t>
      </w:r>
      <w:r>
        <w:rPr>
          <w:rFonts w:hint="eastAsia" w:ascii="仿宋" w:hAnsi="仿宋" w:eastAsia="仿宋" w:cs="仿宋"/>
          <w:color w:val="000000"/>
          <w:sz w:val="32"/>
          <w:szCs w:val="32"/>
          <w:lang w:val="en-US" w:eastAsia="zh-CN"/>
        </w:rPr>
        <w:t>............................ 1</w:t>
      </w:r>
    </w:p>
    <w:p>
      <w:pPr>
        <w:keepNext w:val="0"/>
        <w:keepLines w:val="0"/>
        <w:pageBreakBefore w:val="0"/>
        <w:widowControl w:val="0"/>
        <w:numPr>
          <w:numId w:val="0"/>
        </w:numPr>
        <w:kinsoku/>
        <w:wordWrap/>
        <w:overflowPunct/>
        <w:topLinePunct w:val="0"/>
        <w:autoSpaceDE/>
        <w:autoSpaceDN/>
        <w:bidi w:val="0"/>
        <w:adjustRightInd/>
        <w:snapToGrid w:val="0"/>
        <w:spacing w:line="240" w:lineRule="auto"/>
        <w:ind w:left="1680" w:leftChars="0"/>
        <w:jc w:val="left"/>
        <w:textAlignment w:val="auto"/>
        <w:rPr>
          <w:rFonts w:hint="default" w:ascii="仿宋" w:hAnsi="仿宋" w:eastAsia="仿宋" w:cs="仿宋"/>
          <w:color w:val="00000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2021年度部门预算公开报表</w:t>
      </w:r>
      <w:r>
        <w:rPr>
          <w:rFonts w:hint="eastAsia" w:ascii="仿宋" w:hAnsi="仿宋" w:eastAsia="仿宋" w:cs="仿宋"/>
          <w:color w:val="000000"/>
          <w:sz w:val="32"/>
          <w:szCs w:val="32"/>
          <w:lang w:val="en-US" w:eastAsia="zh-CN"/>
        </w:rPr>
        <w:t>........ 2</w:t>
      </w:r>
    </w:p>
    <w:p>
      <w:pPr>
        <w:keepNext w:val="0"/>
        <w:keepLines w:val="0"/>
        <w:pageBreakBefore w:val="0"/>
        <w:widowControl w:val="0"/>
        <w:numPr>
          <w:numId w:val="0"/>
        </w:numPr>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2021年度部门预算情况说明</w:t>
      </w:r>
      <w:r>
        <w:rPr>
          <w:rFonts w:hint="eastAsia" w:ascii="仿宋" w:hAnsi="仿宋" w:eastAsia="仿宋" w:cs="仿宋"/>
          <w:color w:val="000000"/>
          <w:sz w:val="32"/>
          <w:szCs w:val="32"/>
          <w:lang w:val="en-US" w:eastAsia="zh-CN"/>
        </w:rPr>
        <w:t>........ 3</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firstLine="1600" w:firstLineChars="5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2021年度部门预算收支情况</w:t>
      </w:r>
    </w:p>
    <w:p>
      <w:pPr>
        <w:keepNext w:val="0"/>
        <w:keepLines w:val="0"/>
        <w:pageBreakBefore w:val="0"/>
        <w:widowControl w:val="0"/>
        <w:kinsoku/>
        <w:wordWrap/>
        <w:overflowPunct/>
        <w:topLinePunct w:val="0"/>
        <w:autoSpaceDE/>
        <w:autoSpaceDN/>
        <w:bidi w:val="0"/>
        <w:adjustRightInd/>
        <w:snapToGrid w:val="0"/>
        <w:spacing w:line="360" w:lineRule="auto"/>
        <w:ind w:firstLine="1609" w:firstLineChars="503"/>
        <w:jc w:val="left"/>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“三公”经费情况</w:t>
      </w:r>
    </w:p>
    <w:p>
      <w:pPr>
        <w:keepNext w:val="0"/>
        <w:keepLines w:val="0"/>
        <w:pageBreakBefore w:val="0"/>
        <w:widowControl w:val="0"/>
        <w:numPr>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三、</w:t>
      </w:r>
      <w:r>
        <w:rPr>
          <w:rFonts w:hint="eastAsia" w:ascii="仿宋" w:hAnsi="仿宋" w:eastAsia="仿宋" w:cs="仿宋"/>
          <w:color w:val="000000"/>
          <w:sz w:val="32"/>
          <w:szCs w:val="32"/>
        </w:rPr>
        <w:t>机关运行经费情况</w:t>
      </w:r>
    </w:p>
    <w:p>
      <w:pPr>
        <w:keepNext w:val="0"/>
        <w:keepLines w:val="0"/>
        <w:pageBreakBefore w:val="0"/>
        <w:widowControl w:val="0"/>
        <w:numPr>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四、</w:t>
      </w:r>
      <w:r>
        <w:rPr>
          <w:rFonts w:hint="eastAsia" w:ascii="仿宋" w:hAnsi="仿宋" w:eastAsia="仿宋" w:cs="仿宋"/>
          <w:color w:val="000000"/>
          <w:sz w:val="32"/>
          <w:szCs w:val="32"/>
        </w:rPr>
        <w:t>政府采购情况</w:t>
      </w:r>
    </w:p>
    <w:p>
      <w:pPr>
        <w:keepNext w:val="0"/>
        <w:keepLines w:val="0"/>
        <w:pageBreakBefore w:val="0"/>
        <w:widowControl w:val="0"/>
        <w:numPr>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五、</w:t>
      </w:r>
      <w:r>
        <w:rPr>
          <w:rFonts w:hint="eastAsia" w:ascii="仿宋" w:hAnsi="仿宋" w:eastAsia="仿宋" w:cs="仿宋"/>
          <w:color w:val="000000"/>
          <w:sz w:val="32"/>
          <w:szCs w:val="32"/>
        </w:rPr>
        <w:t>绩效管理情况</w:t>
      </w:r>
    </w:p>
    <w:p>
      <w:pPr>
        <w:keepNext w:val="0"/>
        <w:keepLines w:val="0"/>
        <w:pageBreakBefore w:val="0"/>
        <w:widowControl w:val="0"/>
        <w:kinsoku/>
        <w:wordWrap/>
        <w:overflowPunct/>
        <w:topLinePunct w:val="0"/>
        <w:autoSpaceDE/>
        <w:autoSpaceDN/>
        <w:bidi w:val="0"/>
        <w:adjustRightInd/>
        <w:snapToGrid w:val="0"/>
        <w:spacing w:line="360" w:lineRule="auto"/>
        <w:ind w:firstLine="66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六、</w:t>
      </w:r>
      <w:r>
        <w:rPr>
          <w:rFonts w:hint="eastAsia" w:ascii="仿宋" w:hAnsi="仿宋" w:eastAsia="仿宋" w:cs="仿宋"/>
          <w:color w:val="000000"/>
          <w:sz w:val="32"/>
          <w:szCs w:val="32"/>
        </w:rPr>
        <w:t>国有资产占有使用情况</w:t>
      </w:r>
    </w:p>
    <w:p>
      <w:pPr>
        <w:keepNext w:val="0"/>
        <w:keepLines w:val="0"/>
        <w:pageBreakBefore w:val="0"/>
        <w:widowControl w:val="0"/>
        <w:kinsoku/>
        <w:wordWrap/>
        <w:overflowPunct/>
        <w:topLinePunct w:val="0"/>
        <w:autoSpaceDE/>
        <w:autoSpaceDN/>
        <w:bidi w:val="0"/>
        <w:adjustRightInd/>
        <w:snapToGrid w:val="0"/>
        <w:spacing w:line="360" w:lineRule="auto"/>
        <w:ind w:firstLine="660"/>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七、</w:t>
      </w:r>
      <w:r>
        <w:rPr>
          <w:rFonts w:hint="eastAsia" w:ascii="仿宋" w:hAnsi="仿宋" w:eastAsia="仿宋" w:cs="仿宋"/>
          <w:color w:val="000000"/>
          <w:sz w:val="32"/>
          <w:szCs w:val="32"/>
        </w:rPr>
        <w:t>政府购买服务指导性目录</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名词解释</w:t>
      </w:r>
      <w:r>
        <w:rPr>
          <w:rFonts w:hint="eastAsia" w:ascii="仿宋" w:hAnsi="仿宋" w:eastAsia="仿宋" w:cs="仿宋"/>
          <w:color w:val="000000"/>
          <w:sz w:val="32"/>
          <w:szCs w:val="32"/>
          <w:lang w:val="en-US" w:eastAsia="zh-CN"/>
        </w:rPr>
        <w:t>......................... 5</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sz w:val="32"/>
          <w:szCs w:val="32"/>
        </w:rPr>
        <w:sectPr>
          <w:footerReference r:id="rId3" w:type="first"/>
          <w:type w:val="continuous"/>
          <w:pgSz w:w="11900" w:h="16840"/>
          <w:pgMar w:top="1440" w:right="1134" w:bottom="1440" w:left="1803" w:header="0" w:footer="1440" w:gutter="0"/>
          <w:pgNumType w:fmt="decimal" w:start="1"/>
          <w:cols w:space="720" w:num="1"/>
          <w:docGrid w:type="lines" w:linePitch="312" w:charSpace="0"/>
        </w:sectPr>
      </w:pPr>
      <w:r>
        <w:rPr>
          <w:rFonts w:hint="eastAsia" w:ascii="仿宋" w:hAnsi="仿宋" w:eastAsia="仿宋" w:cs="仿宋"/>
          <w:color w:val="000000"/>
          <w:sz w:val="32"/>
          <w:szCs w:val="32"/>
        </w:rPr>
        <w:tab/>
        <w:t/>
      </w:r>
      <w:r>
        <w:rPr>
          <w:rFonts w:hint="eastAsia" w:ascii="仿宋" w:hAnsi="仿宋" w:eastAsia="仿宋" w:cs="仿宋"/>
          <w:color w:val="000000"/>
          <w:sz w:val="32"/>
          <w:szCs w:val="32"/>
        </w:rPr>
        <w:tab/>
      </w:r>
    </w:p>
    <w:p>
      <w:pPr>
        <w:keepNext w:val="0"/>
        <w:keepLines w:val="0"/>
        <w:pageBreakBefore w:val="0"/>
        <w:widowControl w:val="0"/>
        <w:kinsoku/>
        <w:wordWrap/>
        <w:overflowPunct/>
        <w:topLinePunct w:val="0"/>
        <w:autoSpaceDE/>
        <w:autoSpaceDN/>
        <w:bidi w:val="0"/>
        <w:adjustRightInd/>
        <w:snapToGrid/>
        <w:spacing w:before="400" w:line="240" w:lineRule="auto"/>
        <w:ind w:firstLine="0"/>
        <w:jc w:val="left"/>
        <w:textAlignment w:val="auto"/>
        <w:rPr>
          <w:rFonts w:hint="eastAsia" w:ascii="仿宋" w:hAnsi="仿宋" w:eastAsia="仿宋" w:cs="仿宋"/>
          <w:sz w:val="32"/>
          <w:szCs w:val="32"/>
        </w:rPr>
        <w:sectPr>
          <w:footerReference r:id="rId5" w:type="first"/>
          <w:footerReference r:id="rId4" w:type="default"/>
          <w:type w:val="continuous"/>
          <w:pgSz w:w="11900" w:h="16840"/>
          <w:pgMar w:top="1440" w:right="840" w:bottom="1440" w:left="840" w:header="0" w:footer="1440" w:gutter="0"/>
          <w:pgNumType w:fmt="decimal"/>
          <w:cols w:equalWidth="0" w:num="2">
            <w:col w:w="3860" w:space="6200"/>
            <w:col w:w="520"/>
          </w:cols>
          <w:docGrid w:type="lines" w:linePitch="312" w:charSpace="0"/>
        </w:sectPr>
      </w:pPr>
      <w:r>
        <w:rPr>
          <w:rFonts w:hint="eastAsia" w:ascii="仿宋" w:hAnsi="仿宋" w:eastAsia="仿宋" w:cs="仿宋"/>
          <w:sz w:val="32"/>
          <w:szCs w:val="32"/>
        </w:rPr>
        <w:br w:type="column"/>
      </w:r>
    </w:p>
    <w:p>
      <w:pPr>
        <w:keepNext w:val="0"/>
        <w:keepLines w:val="0"/>
        <w:pageBreakBefore w:val="0"/>
        <w:widowControl w:val="0"/>
        <w:kinsoku/>
        <w:wordWrap/>
        <w:overflowPunct/>
        <w:topLinePunct w:val="0"/>
        <w:autoSpaceDE/>
        <w:autoSpaceDN/>
        <w:bidi w:val="0"/>
        <w:adjustRightInd/>
        <w:snapToGrid/>
        <w:spacing w:after="280" w:line="240" w:lineRule="auto"/>
        <w:ind w:firstLine="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after="280" w:line="240" w:lineRule="auto"/>
        <w:ind w:firstLine="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after="280" w:line="240" w:lineRule="auto"/>
        <w:ind w:firstLine="0"/>
        <w:jc w:val="left"/>
        <w:textAlignment w:val="auto"/>
        <w:rPr>
          <w:rFonts w:hint="eastAsia" w:ascii="仿宋" w:hAnsi="仿宋" w:eastAsia="仿宋" w:cs="仿宋"/>
          <w:color w:val="000000"/>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color w:val="000000"/>
          <w:sz w:val="32"/>
          <w:szCs w:val="32"/>
        </w:rPr>
        <w:sectPr>
          <w:headerReference r:id="rId6" w:type="default"/>
          <w:footerReference r:id="rId7" w:type="default"/>
          <w:type w:val="continuous"/>
          <w:pgSz w:w="11900" w:h="16840"/>
          <w:pgMar w:top="1440" w:right="1800" w:bottom="1440" w:left="1800" w:header="0" w:footer="1440" w:gutter="0"/>
          <w:pgNumType w:fmt="decimal"/>
          <w:cols w:space="720" w:num="1"/>
          <w:titlePg/>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概况</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部门职责</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（一）贯彻执行国家和省有关交通运输行政执法的方针政策、法律、法规和规章。制定年度执法工作计划，并组织实施。</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受市交通运输局的委托，依法行使公路路政、道路运政、城市客运管理、交通工程质量和安全监督管理、地方海事行政、水路交通管理、民航机场管理等方面的行政处罚以及与行政处罚相关的行政检查、行政强制等执法职能。</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（三）承担全市交通运输综合行政执法工作的业务指导，组织协调查处跨区域违法违规案件。</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（四）承担忻府区（含忻州经济开发区）交通运输综合行政执法工作。</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（五）受理金市“12328”交通运输放务血面感线的投诉举报、咨询回复等工作。</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（六）组织实施全市交通运输综合行政执法队伍标准化建设。</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（七）承担交通运输相关政策、法律、法规和规章普法宣传工作。</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（八）完成市交通运输局交办的其他任务。</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color w:val="000000"/>
          <w:sz w:val="32"/>
          <w:szCs w:val="32"/>
        </w:rPr>
        <w:sectPr>
          <w:footerReference r:id="rId9" w:type="first"/>
          <w:footerReference r:id="rId8" w:type="default"/>
          <w:pgSz w:w="11900" w:h="16840"/>
          <w:pgMar w:top="1440" w:right="1800" w:bottom="1440" w:left="1800" w:header="0" w:footer="1440"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第二部分 2021年度部门预算公开报表（见附表）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一、忻州市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2021年预算收支总表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2021年预算收入总表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三、忻州市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2021年预算支出总表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四、忻州市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2021年财政拨款收支总表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五、忻州市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2021年一般公共预算支出预算表</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六、忻州市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2021年一般公共预算安排基本支出分经济科目表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七、忻州市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2021年政府性基金预算收入表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八、忻州市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2021年政府性基金预算支出表</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九、忻州市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2021年一般公共预算“三公”经费支出情况统计表</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2021年机关运行经费预算财政拨款情况统计表</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color w:val="000000"/>
          <w:sz w:val="32"/>
          <w:szCs w:val="32"/>
        </w:rPr>
        <w:sectPr>
          <w:footerReference r:id="rId11" w:type="first"/>
          <w:footerReference r:id="rId10" w:type="default"/>
          <w:pgSz w:w="11900" w:h="16840"/>
          <w:pgMar w:top="1440" w:right="1800" w:bottom="1440" w:left="1800" w:header="0" w:footer="1440"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80" w:line="240" w:lineRule="auto"/>
        <w:ind w:firstLine="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第三部分 2021年度部门预算情况说明</w:t>
      </w:r>
    </w:p>
    <w:p>
      <w:pPr>
        <w:keepNext w:val="0"/>
        <w:keepLines w:val="0"/>
        <w:pageBreakBefore w:val="0"/>
        <w:widowControl w:val="0"/>
        <w:kinsoku/>
        <w:wordWrap/>
        <w:overflowPunct/>
        <w:topLinePunct w:val="0"/>
        <w:autoSpaceDE/>
        <w:autoSpaceDN/>
        <w:bidi w:val="0"/>
        <w:adjustRightInd/>
        <w:snapToGrid/>
        <w:spacing w:after="80"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一、2021年度部门预算收支情况</w:t>
      </w:r>
    </w:p>
    <w:p>
      <w:pPr>
        <w:keepNext w:val="0"/>
        <w:keepLines w:val="0"/>
        <w:pageBreakBefore w:val="0"/>
        <w:widowControl w:val="0"/>
        <w:kinsoku/>
        <w:wordWrap/>
        <w:overflowPunct/>
        <w:topLinePunct w:val="0"/>
        <w:autoSpaceDE/>
        <w:autoSpaceDN/>
        <w:bidi w:val="0"/>
        <w:adjustRightInd/>
        <w:snapToGrid/>
        <w:spacing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（一）预算收支情况</w:t>
      </w:r>
    </w:p>
    <w:p>
      <w:pPr>
        <w:keepNext w:val="0"/>
        <w:keepLines w:val="0"/>
        <w:pageBreakBefore w:val="0"/>
        <w:widowControl w:val="0"/>
        <w:kinsoku/>
        <w:wordWrap/>
        <w:overflowPunct/>
        <w:topLinePunct w:val="0"/>
        <w:autoSpaceDE/>
        <w:autoSpaceDN/>
        <w:bidi w:val="0"/>
        <w:adjustRightInd/>
        <w:snapToGrid/>
        <w:spacing w:after="80" w:line="24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2021年收支预算</w:t>
      </w:r>
      <w:r>
        <w:rPr>
          <w:rFonts w:hint="eastAsia" w:ascii="仿宋" w:hAnsi="仿宋" w:eastAsia="仿宋" w:cs="仿宋"/>
          <w:color w:val="000000"/>
          <w:sz w:val="32"/>
          <w:szCs w:val="32"/>
          <w:lang w:val="en-US" w:eastAsia="zh-CN"/>
        </w:rPr>
        <w:t>761.17万</w:t>
      </w:r>
      <w:r>
        <w:rPr>
          <w:rFonts w:hint="eastAsia" w:ascii="仿宋" w:hAnsi="仿宋" w:eastAsia="仿宋" w:cs="仿宋"/>
          <w:color w:val="000000"/>
          <w:sz w:val="32"/>
          <w:szCs w:val="32"/>
        </w:rPr>
        <w:t>元。收入包括一般公共预算财政拨款</w:t>
      </w:r>
      <w:r>
        <w:rPr>
          <w:rFonts w:hint="eastAsia" w:ascii="仿宋" w:hAnsi="仿宋" w:eastAsia="仿宋" w:cs="仿宋"/>
          <w:color w:val="000000"/>
          <w:sz w:val="32"/>
          <w:szCs w:val="32"/>
          <w:lang w:val="en-US" w:eastAsia="zh-CN"/>
        </w:rPr>
        <w:t>761.17</w:t>
      </w:r>
      <w:r>
        <w:rPr>
          <w:rFonts w:hint="eastAsia" w:ascii="仿宋" w:hAnsi="仿宋" w:eastAsia="仿宋" w:cs="仿宋"/>
          <w:color w:val="000000"/>
          <w:sz w:val="32"/>
          <w:szCs w:val="32"/>
        </w:rPr>
        <w:t>万元；支出包括社会保障和就业支出预算</w:t>
      </w:r>
      <w:r>
        <w:rPr>
          <w:rFonts w:hint="eastAsia" w:ascii="仿宋" w:hAnsi="仿宋" w:eastAsia="仿宋" w:cs="仿宋"/>
          <w:color w:val="000000"/>
          <w:sz w:val="32"/>
          <w:szCs w:val="32"/>
          <w:lang w:val="en-US" w:eastAsia="zh-CN"/>
        </w:rPr>
        <w:t>61.80</w:t>
      </w:r>
      <w:r>
        <w:rPr>
          <w:rFonts w:hint="eastAsia" w:ascii="仿宋" w:hAnsi="仿宋" w:eastAsia="仿宋" w:cs="仿宋"/>
          <w:color w:val="000000"/>
          <w:sz w:val="32"/>
          <w:szCs w:val="32"/>
        </w:rPr>
        <w:t>万元，卫生健康支出</w:t>
      </w:r>
      <w:r>
        <w:rPr>
          <w:rFonts w:hint="eastAsia" w:ascii="仿宋" w:hAnsi="仿宋" w:eastAsia="仿宋" w:cs="仿宋"/>
          <w:color w:val="000000"/>
          <w:sz w:val="32"/>
          <w:szCs w:val="32"/>
          <w:lang w:val="en-US" w:eastAsia="zh-CN"/>
        </w:rPr>
        <w:t>27.04</w:t>
      </w:r>
      <w:r>
        <w:rPr>
          <w:rFonts w:hint="eastAsia" w:ascii="仿宋" w:hAnsi="仿宋" w:eastAsia="仿宋" w:cs="仿宋"/>
          <w:color w:val="000000"/>
          <w:sz w:val="32"/>
          <w:szCs w:val="32"/>
        </w:rPr>
        <w:t>万元，农林水支出</w:t>
      </w:r>
      <w:r>
        <w:rPr>
          <w:rFonts w:hint="eastAsia" w:ascii="仿宋" w:hAnsi="仿宋" w:eastAsia="仿宋" w:cs="仿宋"/>
          <w:color w:val="000000"/>
          <w:sz w:val="32"/>
          <w:szCs w:val="32"/>
          <w:lang w:val="en-US" w:eastAsia="zh-CN"/>
        </w:rPr>
        <w:t>7.20</w:t>
      </w:r>
      <w:r>
        <w:rPr>
          <w:rFonts w:hint="eastAsia" w:ascii="仿宋" w:hAnsi="仿宋" w:eastAsia="仿宋" w:cs="仿宋"/>
          <w:color w:val="000000"/>
          <w:sz w:val="32"/>
          <w:szCs w:val="32"/>
        </w:rPr>
        <w:t>万元，住房保障支出</w:t>
      </w:r>
      <w:r>
        <w:rPr>
          <w:rFonts w:hint="eastAsia" w:ascii="仿宋" w:hAnsi="仿宋" w:eastAsia="仿宋" w:cs="仿宋"/>
          <w:color w:val="000000"/>
          <w:sz w:val="32"/>
          <w:szCs w:val="32"/>
          <w:lang w:val="en-US" w:eastAsia="zh-CN"/>
        </w:rPr>
        <w:t>38.63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，交通运输支出</w:t>
      </w:r>
      <w:r>
        <w:rPr>
          <w:rFonts w:hint="eastAsia" w:ascii="仿宋" w:hAnsi="仿宋" w:eastAsia="仿宋" w:cs="仿宋"/>
          <w:color w:val="000000"/>
          <w:sz w:val="32"/>
          <w:szCs w:val="32"/>
          <w:lang w:val="en-US" w:eastAsia="zh-CN"/>
        </w:rPr>
        <w:t>626.50万元</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2021年度一般公共预算支出预算</w:t>
      </w:r>
      <w:r>
        <w:rPr>
          <w:rFonts w:hint="eastAsia" w:ascii="仿宋" w:hAnsi="仿宋" w:eastAsia="仿宋" w:cs="仿宋"/>
          <w:color w:val="000000"/>
          <w:sz w:val="32"/>
          <w:szCs w:val="32"/>
          <w:lang w:val="en-US" w:eastAsia="zh-CN"/>
        </w:rPr>
        <w:t>761.17</w:t>
      </w:r>
      <w:r>
        <w:rPr>
          <w:rFonts w:hint="eastAsia" w:ascii="仿宋" w:hAnsi="仿宋" w:eastAsia="仿宋" w:cs="仿宋"/>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sectPr>
          <w:footerReference r:id="rId12" w:type="default"/>
          <w:type w:val="continuous"/>
          <w:pgSz w:w="11900" w:h="16840"/>
          <w:pgMar w:top="1240" w:right="1620" w:bottom="1240" w:left="1620" w:header="0" w:footer="1240" w:gutter="0"/>
          <w:pgNumType w:fmt="decimal"/>
          <w:cols w:space="720" w:num="1"/>
          <w:docGrid w:type="lines" w:linePitch="312" w:charSpace="0"/>
        </w:sectPr>
      </w:pPr>
      <w:r>
        <w:rPr>
          <w:rFonts w:hint="eastAsia" w:ascii="仿宋" w:hAnsi="仿宋" w:eastAsia="仿宋" w:cs="仿宋"/>
          <w:color w:val="000000"/>
          <w:sz w:val="32"/>
          <w:szCs w:val="32"/>
        </w:rPr>
        <w:t>2021年基本支出</w:t>
      </w:r>
      <w:r>
        <w:rPr>
          <w:rFonts w:hint="eastAsia" w:ascii="仿宋" w:hAnsi="仿宋" w:eastAsia="仿宋" w:cs="仿宋"/>
          <w:color w:val="000000"/>
          <w:sz w:val="32"/>
          <w:szCs w:val="32"/>
          <w:lang w:val="en-US" w:eastAsia="zh-CN"/>
        </w:rPr>
        <w:t>622.01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。较</w:t>
      </w:r>
      <w:r>
        <w:rPr>
          <w:rFonts w:hint="eastAsia" w:ascii="仿宋" w:hAnsi="仿宋" w:eastAsia="仿宋" w:cs="仿宋"/>
          <w:color w:val="000000"/>
          <w:sz w:val="32"/>
          <w:szCs w:val="32"/>
          <w:lang w:val="en-US" w:eastAsia="zh-CN"/>
        </w:rPr>
        <w:t>2022年增加622.01万元。</w:t>
      </w:r>
      <w:r>
        <w:rPr>
          <w:rFonts w:hint="eastAsia" w:ascii="仿宋" w:hAnsi="仿宋" w:eastAsia="仿宋" w:cs="仿宋"/>
          <w:color w:val="000000"/>
          <w:sz w:val="32"/>
          <w:szCs w:val="32"/>
        </w:rPr>
        <w:t>基本支出系按现有人员工资标准和公用经费定额标准核定。增加的原因是所属事业单位机构改革，人员合并</w:t>
      </w:r>
      <w:r>
        <w:rPr>
          <w:rFonts w:hint="eastAsia" w:ascii="仿宋" w:hAnsi="仿宋" w:eastAsia="仿宋" w:cs="仿宋"/>
          <w:color w:val="000000"/>
          <w:sz w:val="32"/>
          <w:szCs w:val="32"/>
        </w:rPr>
        <w:t>员经费增加，以及预算一体化改革后公用经费定额标准提</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page">
                  <wp:posOffset>3187700</wp:posOffset>
                </wp:positionH>
                <wp:positionV relativeFrom="paragraph">
                  <wp:posOffset>9258300</wp:posOffset>
                </wp:positionV>
                <wp:extent cx="1143000" cy="3302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pPr>
                            <w:r>
                              <w:rPr>
                                <w:color w:val="000000"/>
                                <w:sz w:val="22"/>
                              </w:rPr>
                              <w:t>第6页 共13页</w:t>
                            </w:r>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6pt;width:90pt;mso-position-horizontal-relative:page;z-index:251659264;mso-width-relative:page;mso-height-relative:page;" filled="f" stroked="f" coordsize="21600,21600" o:gfxdata="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WRJgoG&#10;fv718/z77/nPD1RGeQbrG8i6s5AXxvdmhKV58HtwRtYjdyp+gQ+K8Tovrq5B4lOLy6JaVcVyEpqN&#10;AVFIAGe5qpcYUcioquu6XKWM7BHKOh8+MKNQNFrsYJJJYHL85AO0BakPKbGyNrdCyjRNqdHQ4rpa&#10;5unBJQIvpIaHkdDUeLTCuBtnljvTnYCk/KhB4HJ5lceFSRcw3FPvbvZOld8dguEiNRURJ5i5EIwt&#10;9TqvWNyLp/eU9fhbbe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US4pdkAAAANAQAADwAAAAAA&#10;AAABACAAAAAiAAAAZHJzL2Rvd25yZXYueG1sUEsBAhQAFAAAAAgAh07iQLsq86jZAQAAngMAAA4A&#10;AAAAAAAAAQAgAAAAKAEAAGRycy9lMm9Eb2MueG1sUEsFBgAAAAAGAAYAWQEAAHMFAAAAAA==&#10;">
                <v:fill on="f" focussize="0,0"/>
                <v:stroke on="f" weight="0.5pt"/>
                <v:imagedata o:title=""/>
                <o:lock v:ext="edit" aspectratio="f"/>
                <v:textbox inset="2pt,0mm,2pt,0mm">
                  <w:txbxContent>
                    <w:p>
                      <w:pPr>
                        <w:spacing w:line="400" w:lineRule="exact"/>
                        <w:jc w:val="center"/>
                      </w:pPr>
                      <w:r>
                        <w:rPr>
                          <w:color w:val="000000"/>
                          <w:sz w:val="22"/>
                        </w:rPr>
                        <w:t>第6页 共13页</w:t>
                      </w:r>
                    </w:p>
                  </w:txbxContent>
                </v:textbox>
              </v:shape>
            </w:pict>
          </mc:Fallback>
        </mc:AlternateContent>
      </w:r>
      <w:r>
        <w:rPr>
          <w:rFonts w:hint="eastAsia" w:ascii="仿宋" w:hAnsi="仿宋" w:eastAsia="仿宋" w:cs="仿宋"/>
          <w:color w:val="000000"/>
          <w:sz w:val="32"/>
          <w:szCs w:val="32"/>
          <w:lang w:eastAsia="zh-CN"/>
        </w:rPr>
        <w:t>升。</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 w:hAnsi="仿宋" w:eastAsia="仿宋" w:cs="仿宋"/>
          <w:color w:val="000000"/>
          <w:sz w:val="32"/>
          <w:szCs w:val="32"/>
        </w:rPr>
        <w:sectPr>
          <w:footerReference r:id="rId15" w:type="first"/>
          <w:headerReference r:id="rId13" w:type="default"/>
          <w:footerReference r:id="rId14" w:type="default"/>
          <w:type w:val="continuous"/>
          <w:pgSz w:w="11900" w:h="16840"/>
          <w:pgMar w:top="1380" w:right="1460" w:bottom="1380" w:left="1460" w:header="0" w:footer="1380" w:gutter="0"/>
          <w:pgNumType w:fmt="decimal"/>
          <w:cols w:space="720" w:num="1"/>
          <w:titlePg/>
          <w:docGrid w:type="lines" w:linePitch="312" w:charSpace="0"/>
        </w:sectPr>
      </w:pPr>
      <w:r>
        <w:rPr>
          <w:rFonts w:hint="eastAsia" w:ascii="仿宋" w:hAnsi="仿宋" w:eastAsia="仿宋" w:cs="仿宋"/>
          <w:color w:val="000000"/>
          <w:sz w:val="32"/>
          <w:szCs w:val="32"/>
        </w:rPr>
        <w:t>其中：人员经费</w:t>
      </w:r>
      <w:r>
        <w:rPr>
          <w:rFonts w:hint="eastAsia" w:ascii="仿宋" w:hAnsi="仿宋" w:eastAsia="仿宋" w:cs="仿宋"/>
          <w:color w:val="000000"/>
          <w:sz w:val="32"/>
          <w:szCs w:val="32"/>
          <w:lang w:val="en-US" w:eastAsia="zh-CN"/>
        </w:rPr>
        <w:t>622.01</w:t>
      </w:r>
      <w:r>
        <w:rPr>
          <w:rFonts w:hint="eastAsia" w:ascii="仿宋" w:hAnsi="仿宋" w:eastAsia="仿宋" w:cs="仿宋"/>
          <w:color w:val="000000"/>
          <w:sz w:val="32"/>
          <w:szCs w:val="32"/>
        </w:rPr>
        <w:t>万元，主要包括基本工资、津贴补贴、奖金、绩效工资、机关事业单位基本养老保险缴费、职业年金缴费、职工基本医疗保险缴费、其他社会保障缴费、住房公积金、离休费、退休费、生活补助、奖励金等；公用经费</w:t>
      </w:r>
      <w:r>
        <w:rPr>
          <w:rFonts w:hint="eastAsia" w:ascii="仿宋" w:hAnsi="仿宋" w:eastAsia="仿宋" w:cs="仿宋"/>
          <w:color w:val="000000"/>
          <w:sz w:val="32"/>
          <w:szCs w:val="32"/>
          <w:lang w:val="en-US" w:eastAsia="zh-CN"/>
        </w:rPr>
        <w:t>139.16</w:t>
      </w:r>
      <w:r>
        <w:rPr>
          <w:rFonts w:hint="eastAsia" w:ascii="仿宋" w:hAnsi="仿宋" w:eastAsia="仿宋" w:cs="仿宋"/>
          <w:color w:val="000000"/>
          <w:sz w:val="32"/>
          <w:szCs w:val="32"/>
        </w:rPr>
        <w:t>万元，主要包括办公费、水费、电费、公务接待费、公务用车运行维护费、委托业务费、邮电费、租赁费、其他交通费用、物业管理费、工会经费、福利费、其他商品和服务支出、以及办公设</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备购置等。</w:t>
      </w:r>
    </w:p>
    <w:p>
      <w:pPr>
        <w:keepNext w:val="0"/>
        <w:keepLines w:val="0"/>
        <w:pageBreakBefore w:val="0"/>
        <w:widowControl w:val="0"/>
        <w:kinsoku/>
        <w:wordWrap/>
        <w:overflowPunct/>
        <w:topLinePunct w:val="0"/>
        <w:autoSpaceDE/>
        <w:autoSpaceDN/>
        <w:bidi w:val="0"/>
        <w:adjustRightInd/>
        <w:snapToGrid/>
        <w:spacing w:line="240" w:lineRule="auto"/>
        <w:ind w:firstLine="72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（三）政府性基金预算情况</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eastAsia" w:ascii="仿宋" w:hAnsi="仿宋" w:eastAsia="仿宋" w:cs="仿宋"/>
          <w:sz w:val="32"/>
          <w:szCs w:val="32"/>
        </w:rPr>
        <w:sectPr>
          <w:footerReference r:id="rId17" w:type="first"/>
          <w:footerReference r:id="rId16" w:type="default"/>
          <w:pgSz w:w="11900" w:h="16840"/>
          <w:pgMar w:top="1380" w:right="1460" w:bottom="1380" w:left="1460" w:header="0" w:footer="1380" w:gutter="0"/>
          <w:pgNumType w:fmt="decimal"/>
          <w:cols w:space="720" w:num="1"/>
          <w:titlePg/>
          <w:docGrid w:type="lines" w:linePitch="312" w:charSpace="0"/>
        </w:sectPr>
      </w:pPr>
      <w:r>
        <w:rPr>
          <w:rFonts w:hint="eastAsia" w:ascii="仿宋" w:hAnsi="仿宋" w:eastAsia="仿宋" w:cs="仿宋"/>
          <w:color w:val="000000"/>
          <w:sz w:val="32"/>
          <w:szCs w:val="32"/>
        </w:rPr>
        <w:t>我部门2021年没有政府性基金预算收入和使用政府性基金预算拨款安排的支出。</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二、“三公”经费情况</w:t>
      </w:r>
    </w:p>
    <w:p>
      <w:pPr>
        <w:keepNext w:val="0"/>
        <w:keepLines w:val="0"/>
        <w:pageBreakBefore w:val="0"/>
        <w:widowControl w:val="0"/>
        <w:kinsoku/>
        <w:wordWrap/>
        <w:overflowPunct/>
        <w:topLinePunct w:val="0"/>
        <w:autoSpaceDE/>
        <w:autoSpaceDN/>
        <w:bidi w:val="0"/>
        <w:adjustRightInd/>
        <w:snapToGrid/>
        <w:spacing w:after="80" w:line="240" w:lineRule="auto"/>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2021年一般公共预算安排的“三公”经费预算</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万元，与2020相比增加</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万元，增长原因为</w:t>
      </w: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新增事业单位。其中，因公出国（境）费用0万元，和上年相同；公务接待费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万元，较上年减少</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万元；公务用车运行维护费</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万元，较上年增加</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万，公务用车购置费0万元，和上年相同。本年将认真落实省政府真正过“紧日子”要求，进一步从严控制“三公”经费开支。</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三、机关运行经费情况</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我部门</w:t>
      </w:r>
      <w:r>
        <w:rPr>
          <w:rFonts w:hint="eastAsia" w:ascii="仿宋" w:hAnsi="仿宋" w:eastAsia="仿宋" w:cs="仿宋"/>
          <w:color w:val="000000"/>
          <w:sz w:val="32"/>
          <w:szCs w:val="32"/>
          <w:lang w:val="en-US" w:eastAsia="zh-CN"/>
        </w:rPr>
        <w:t>2021年没有机关运行经费情况。</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四、政府采购情况</w:t>
      </w:r>
    </w:p>
    <w:p>
      <w:pPr>
        <w:keepNext w:val="0"/>
        <w:keepLines w:val="0"/>
        <w:pageBreakBefore w:val="0"/>
        <w:widowControl w:val="0"/>
        <w:kinsoku/>
        <w:wordWrap/>
        <w:overflowPunct/>
        <w:topLinePunct w:val="0"/>
        <w:autoSpaceDE/>
        <w:autoSpaceDN/>
        <w:bidi w:val="0"/>
        <w:adjustRightInd/>
        <w:snapToGrid/>
        <w:spacing w:after="80" w:line="240" w:lineRule="auto"/>
        <w:ind w:firstLine="640"/>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我部门</w:t>
      </w:r>
      <w:r>
        <w:rPr>
          <w:rFonts w:hint="eastAsia" w:ascii="仿宋" w:hAnsi="仿宋" w:eastAsia="仿宋" w:cs="仿宋"/>
          <w:color w:val="000000"/>
          <w:sz w:val="32"/>
          <w:szCs w:val="32"/>
        </w:rPr>
        <w:t>2021年</w:t>
      </w:r>
      <w:r>
        <w:rPr>
          <w:rFonts w:hint="eastAsia" w:ascii="仿宋" w:hAnsi="仿宋" w:eastAsia="仿宋" w:cs="仿宋"/>
          <w:color w:val="000000"/>
          <w:sz w:val="32"/>
          <w:szCs w:val="32"/>
          <w:lang w:eastAsia="zh-CN"/>
        </w:rPr>
        <w:t>无政府购买情况。</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sectPr>
          <w:footerReference r:id="rId18" w:type="default"/>
          <w:type w:val="continuous"/>
          <w:pgSz w:w="11900" w:h="16840"/>
          <w:pgMar w:top="1380" w:right="1640" w:bottom="1380" w:left="1640" w:header="0" w:footer="1380" w:gutter="0"/>
          <w:pgNumType w:fmt="decimal"/>
          <w:cols w:space="720" w:num="1"/>
          <w:docGrid w:type="lines" w:linePitch="312" w:charSpace="0"/>
        </w:sectPr>
      </w:pPr>
      <w:r>
        <w:rPr>
          <w:rFonts w:hint="eastAsia" w:ascii="仿宋" w:hAnsi="仿宋" w:eastAsia="仿宋" w:cs="仿宋"/>
          <w:color w:val="000000"/>
          <w:sz w:val="32"/>
          <w:szCs w:val="32"/>
        </w:rPr>
        <w:t>五、绩效管理情况</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page">
                  <wp:posOffset>3175000</wp:posOffset>
                </wp:positionH>
                <wp:positionV relativeFrom="paragraph">
                  <wp:posOffset>8724900</wp:posOffset>
                </wp:positionV>
                <wp:extent cx="1143000" cy="304800"/>
                <wp:effectExtent l="0" t="0" r="635" b="14605"/>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pPr>
                            <w:r>
                              <w:rPr>
                                <w:color w:val="000000"/>
                                <w:sz w:val="20"/>
                              </w:rPr>
                              <w:t>第8页共13页</w:t>
                            </w:r>
                          </w:p>
                        </w:txbxContent>
                      </wps:txbx>
                      <wps:bodyPr lIns="25400" tIns="0" rIns="25400" bIns="0">
                        <a:noAutofit/>
                      </wps:bodyPr>
                    </wps:wsp>
                  </a:graphicData>
                </a:graphic>
              </wp:anchor>
            </w:drawing>
          </mc:Choice>
          <mc:Fallback>
            <w:pict>
              <v:shape id="文本框 2" o:spid="_x0000_s1026" o:spt="202" type="#_x0000_t202" style="position:absolute;left:0pt;margin-left:250pt;margin-top:687pt;height:24pt;width:90pt;mso-position-horizontal-relative:page;z-index:251659264;mso-width-relative:page;mso-height-relative:page;" filled="f" stroked="f" coordsize="21600,21600" o:gfxdata="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RIjTRQM&#10;/Pzr5/n33/OfH6iM8gzWN5B1ZyEvjO/NCEvz4PfgjKxH7lT8Ah8U43VeXF2DxKcWl0W1qorlJDQb&#10;A6KQAM5yVUNFChlVdV2Xq5SRPUJZ58MHZhSKRosdTDIJTI6ffIC2IPUhJVbW5lZImaYpNRpaXFfL&#10;PD24ROCF1PAwEpoaj1YYd+PMcme6E5CUHzUIXC6v8rgw6QKGe+rdzd6p8rtDMFykpiLiBDMXgrGl&#10;XucVi3vx9J6yHn+rz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7sM22QAAAA0BAAAPAAAAAAAA&#10;AAEAIAAAACIAAABkcnMvZG93bnJldi54bWxQSwECFAAUAAAACACHTuJAmFK1k9gBAACeAwAADgAA&#10;AAAAAAABACAAAAAoAQAAZHJzL2Uyb0RvYy54bWxQSwUGAAAAAAYABgBZAQAAcgUAAAAA&#10;">
                <v:fill on="f" focussize="0,0"/>
                <v:stroke on="f" weight="0.5pt"/>
                <v:imagedata o:title=""/>
                <o:lock v:ext="edit" aspectratio="f"/>
                <v:textbox inset="2pt,0mm,2pt,0mm">
                  <w:txbxContent>
                    <w:p>
                      <w:pPr>
                        <w:spacing w:line="360" w:lineRule="exact"/>
                        <w:jc w:val="center"/>
                      </w:pPr>
                      <w:r>
                        <w:rPr>
                          <w:color w:val="000000"/>
                          <w:sz w:val="20"/>
                        </w:rPr>
                        <w:t>第8页共13页</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720"/>
        <w:jc w:val="left"/>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2021年忻州市</w:t>
      </w:r>
      <w:r>
        <w:rPr>
          <w:rFonts w:hint="eastAsia" w:ascii="仿宋" w:hAnsi="仿宋" w:eastAsia="仿宋" w:cs="仿宋"/>
          <w:color w:val="000000"/>
          <w:sz w:val="32"/>
          <w:szCs w:val="32"/>
          <w:lang w:eastAsia="zh-CN"/>
        </w:rPr>
        <w:t>交通运输综合行政执法队无</w:t>
      </w:r>
      <w:r>
        <w:rPr>
          <w:rFonts w:hint="eastAsia" w:ascii="仿宋" w:hAnsi="仿宋" w:eastAsia="仿宋" w:cs="仿宋"/>
          <w:color w:val="000000"/>
          <w:sz w:val="32"/>
          <w:szCs w:val="32"/>
        </w:rPr>
        <w:t>实施绩效目标管理的项目</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六、国有资产占有使用情况</w:t>
      </w:r>
    </w:p>
    <w:p>
      <w:pPr>
        <w:keepNext w:val="0"/>
        <w:keepLines w:val="0"/>
        <w:pageBreakBefore w:val="0"/>
        <w:widowControl w:val="0"/>
        <w:kinsoku/>
        <w:wordWrap/>
        <w:overflowPunct/>
        <w:topLinePunct w:val="0"/>
        <w:autoSpaceDE/>
        <w:autoSpaceDN/>
        <w:bidi w:val="0"/>
        <w:adjustRightInd/>
        <w:snapToGrid/>
        <w:spacing w:line="240" w:lineRule="auto"/>
        <w:ind w:firstLine="660"/>
        <w:jc w:val="left"/>
        <w:textAlignment w:val="auto"/>
        <w:rPr>
          <w:rFonts w:hint="eastAsia" w:ascii="仿宋" w:hAnsi="仿宋" w:eastAsia="仿宋" w:cs="仿宋"/>
          <w:sz w:val="32"/>
          <w:szCs w:val="32"/>
        </w:rPr>
        <w:sectPr>
          <w:headerReference r:id="rId19" w:type="default"/>
          <w:footerReference r:id="rId20" w:type="default"/>
          <w:type w:val="continuous"/>
          <w:pgSz w:w="11900" w:h="16840"/>
          <w:pgMar w:top="1180" w:right="1400" w:bottom="1180" w:left="1400" w:header="0" w:footer="1180" w:gutter="0"/>
          <w:pgNumType w:fmt="decimal"/>
          <w:cols w:space="720" w:num="1"/>
          <w:titlePg/>
          <w:docGrid w:type="lines" w:linePitch="312" w:charSpace="0"/>
        </w:sectPr>
      </w:pPr>
      <w:r>
        <w:rPr>
          <w:rFonts w:hint="eastAsia" w:ascii="仿宋" w:hAnsi="仿宋" w:eastAsia="仿宋" w:cs="仿宋"/>
          <w:color w:val="000000"/>
          <w:sz w:val="32"/>
          <w:szCs w:val="32"/>
        </w:rPr>
        <w:t>1．车辆情况</w:t>
      </w:r>
    </w:p>
    <w:p>
      <w:pPr>
        <w:keepNext w:val="0"/>
        <w:keepLines w:val="0"/>
        <w:pageBreakBefore w:val="0"/>
        <w:widowControl w:val="0"/>
        <w:kinsoku/>
        <w:wordWrap/>
        <w:overflowPunct/>
        <w:topLinePunct w:val="0"/>
        <w:autoSpaceDE/>
        <w:autoSpaceDN/>
        <w:bidi w:val="0"/>
        <w:adjustRightInd/>
        <w:snapToGrid/>
        <w:spacing w:line="240" w:lineRule="auto"/>
        <w:ind w:firstLine="62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我单位自有车辆</w:t>
      </w:r>
      <w:r>
        <w:rPr>
          <w:rFonts w:hint="eastAsia" w:ascii="仿宋" w:hAnsi="仿宋" w:eastAsia="仿宋" w:cs="仿宋"/>
          <w:sz w:val="32"/>
          <w:szCs w:val="32"/>
          <w:lang w:val="en-US" w:eastAsia="zh-CN"/>
        </w:rPr>
        <w:t>5辆，无编制。</w:t>
      </w:r>
    </w:p>
    <w:p>
      <w:pPr>
        <w:keepNext w:val="0"/>
        <w:keepLines w:val="0"/>
        <w:pageBreakBefore w:val="0"/>
        <w:widowControl w:val="0"/>
        <w:kinsoku/>
        <w:wordWrap/>
        <w:overflowPunct/>
        <w:topLinePunct w:val="0"/>
        <w:autoSpaceDE/>
        <w:autoSpaceDN/>
        <w:bidi w:val="0"/>
        <w:adjustRightInd/>
        <w:snapToGrid/>
        <w:spacing w:line="240" w:lineRule="auto"/>
        <w:ind w:firstLine="620"/>
        <w:jc w:val="left"/>
        <w:textAlignment w:val="auto"/>
        <w:rPr>
          <w:rFonts w:hint="eastAsia" w:ascii="仿宋" w:hAnsi="仿宋" w:eastAsia="仿宋" w:cs="仿宋"/>
          <w:color w:val="000000"/>
          <w:sz w:val="32"/>
          <w:szCs w:val="32"/>
        </w:rPr>
        <w:sectPr>
          <w:footerReference r:id="rId21" w:type="default"/>
          <w:type w:val="continuous"/>
          <w:pgSz w:w="11900" w:h="16840"/>
          <w:pgMar w:top="1240" w:right="1640" w:bottom="1240" w:left="1640" w:header="0" w:footer="124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2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2．房屋情况</w:t>
      </w:r>
    </w:p>
    <w:p>
      <w:pPr>
        <w:keepNext w:val="0"/>
        <w:keepLines w:val="0"/>
        <w:pageBreakBefore w:val="0"/>
        <w:widowControl w:val="0"/>
        <w:kinsoku/>
        <w:wordWrap/>
        <w:overflowPunct/>
        <w:topLinePunct w:val="0"/>
        <w:autoSpaceDE/>
        <w:autoSpaceDN/>
        <w:bidi w:val="0"/>
        <w:adjustRightInd/>
        <w:snapToGrid/>
        <w:spacing w:line="240" w:lineRule="auto"/>
        <w:ind w:firstLine="62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我单位无房屋。</w:t>
      </w:r>
    </w:p>
    <w:p>
      <w:pPr>
        <w:keepNext w:val="0"/>
        <w:keepLines w:val="0"/>
        <w:pageBreakBefore w:val="0"/>
        <w:widowControl w:val="0"/>
        <w:kinsoku/>
        <w:wordWrap/>
        <w:overflowPunct/>
        <w:topLinePunct w:val="0"/>
        <w:autoSpaceDE/>
        <w:autoSpaceDN/>
        <w:bidi w:val="0"/>
        <w:adjustRightInd/>
        <w:snapToGrid/>
        <w:spacing w:line="240" w:lineRule="auto"/>
        <w:ind w:firstLine="62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七、政府购买服务指导性目录</w:t>
      </w:r>
    </w:p>
    <w:p>
      <w:pPr>
        <w:keepNext w:val="0"/>
        <w:keepLines w:val="0"/>
        <w:pageBreakBefore w:val="0"/>
        <w:widowControl w:val="0"/>
        <w:kinsoku/>
        <w:wordWrap/>
        <w:overflowPunct/>
        <w:topLinePunct w:val="0"/>
        <w:autoSpaceDE/>
        <w:autoSpaceDN/>
        <w:bidi w:val="0"/>
        <w:adjustRightInd/>
        <w:snapToGrid/>
        <w:spacing w:after="240" w:line="240" w:lineRule="auto"/>
        <w:ind w:firstLine="6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忻州市</w:t>
      </w:r>
      <w:r>
        <w:rPr>
          <w:rFonts w:hint="eastAsia" w:ascii="仿宋" w:hAnsi="仿宋" w:eastAsia="仿宋" w:cs="仿宋"/>
          <w:color w:val="000000"/>
          <w:sz w:val="32"/>
          <w:szCs w:val="32"/>
          <w:lang w:eastAsia="zh-CN"/>
        </w:rPr>
        <w:t>交通运输综合行政执法队</w:t>
      </w:r>
      <w:r>
        <w:rPr>
          <w:rFonts w:hint="eastAsia" w:ascii="仿宋" w:hAnsi="仿宋" w:eastAsia="仿宋" w:cs="仿宋"/>
          <w:color w:val="000000"/>
          <w:sz w:val="32"/>
          <w:szCs w:val="32"/>
        </w:rPr>
        <w:t>目前没有政府购买服务项目，故没有制定本部门的政府购买服务指导性目录。</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240" w:lineRule="auto"/>
        <w:ind w:firstLine="6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一、基本支出：指为保障机构正常运转、完成日常工作任务而发生的人员支出和公用支出。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40" w:lineRule="auto"/>
        <w:ind w:firstLine="6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40" w:lineRule="auto"/>
        <w:ind w:firstLine="620"/>
        <w:jc w:val="both"/>
        <w:textAlignment w:val="auto"/>
        <w:rPr>
          <w:rFonts w:hint="eastAsia" w:ascii="仿宋" w:hAnsi="仿宋" w:eastAsia="仿宋" w:cs="仿宋"/>
          <w:sz w:val="32"/>
          <w:szCs w:val="32"/>
        </w:rPr>
        <w:sectPr>
          <w:footerReference r:id="rId22" w:type="default"/>
          <w:pgSz w:w="11900" w:h="16840"/>
          <w:pgMar w:top="1240" w:right="1640" w:bottom="1240" w:left="1640" w:header="0" w:footer="1240" w:gutter="0"/>
          <w:pgNumType w:fmt="decimal"/>
          <w:cols w:space="720" w:num="1"/>
          <w:docGrid w:type="lines" w:linePitch="312" w:charSpace="0"/>
        </w:sectPr>
      </w:pPr>
      <w:r>
        <w:rPr>
          <w:rFonts w:hint="eastAsia" w:ascii="仿宋" w:hAnsi="仿宋" w:eastAsia="仿宋" w:cs="仿宋"/>
          <w:color w:val="000000"/>
          <w:sz w:val="32"/>
          <w:szCs w:val="32"/>
        </w:rPr>
        <w:t>三、“三公”经费：指市直部门用一般公共预算安排的因公出国（境）费、公务用车购置及运行费和公务接待费。其中，因公出国（境）费反映单位公务出国（境）的国际旅费、国外城市间交通费、住宿费、伙食费、培训费、公杂费</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page">
                  <wp:posOffset>3187700</wp:posOffset>
                </wp:positionH>
                <wp:positionV relativeFrom="paragraph">
                  <wp:posOffset>9258300</wp:posOffset>
                </wp:positionV>
                <wp:extent cx="1206500" cy="304800"/>
                <wp:effectExtent l="0" t="0" r="635" b="14605"/>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jc w:val="center"/>
                            </w:pPr>
                            <w:r>
                              <w:rPr>
                                <w:color w:val="000000"/>
                                <w:sz w:val="22"/>
                              </w:rPr>
                              <w:t>第11页共13页</w:t>
                            </w:r>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4pt;width:95pt;mso-position-horizontal-relative:page;z-index:251659264;mso-width-relative:page;mso-height-relative:page;" filled="f" stroked="f" coordsize="21600,21600" o:gfxdata="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QojTRQM&#10;/Pzr5/n33/OfH6iM8gzWN5B1ZyEvjO/NCEvz4PfgjKxH7lT8Ah8U43VeXF2DxKcWl0W1qorlJDQb&#10;A6KQAM5yVS8xopBRVdd1uUoZ2SOUdT58YEahaLTYwSSTwOT4yQdoC1IfUmJlbW6FlGmaUqOhxXW1&#10;zNODSwReSA0PI6Gp8WiFcTfOLHemOwFJ+VGDwOXyKo8Lky5guKfe3eydKr87BMNFaioiTjBzIRhb&#10;6nVesbgXT+8p6/G32t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7KmsNkAAAANAQAADwAAAAAA&#10;AAABACAAAAAiAAAAZHJzL2Rvd25yZXYueG1sUEsBAhQAFAAAAAgAh07iQN6iOeXZAQAAngMAAA4A&#10;AAAAAAAAAQAgAAAAKAEAAGRycy9lMm9Eb2MueG1sUEsFBgAAAAAGAAYAWQEAAHMFAAAAAA==&#10;">
                <v:fill on="f" focussize="0,0"/>
                <v:stroke on="f" weight="0.5pt"/>
                <v:imagedata o:title=""/>
                <o:lock v:ext="edit" aspectratio="f"/>
                <v:textbox inset="2pt,0mm,2pt,0mm">
                  <w:txbxContent>
                    <w:p>
                      <w:pPr>
                        <w:spacing w:line="380" w:lineRule="exact"/>
                        <w:jc w:val="center"/>
                      </w:pPr>
                      <w:r>
                        <w:rPr>
                          <w:color w:val="000000"/>
                          <w:sz w:val="22"/>
                        </w:rPr>
                        <w:t>第11页共13页</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四、机关运行经费：指行政单位和参照公务员法管理的事业单位使用一般公共预算安排的基本支出中的日常公用经费支出。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仿宋" w:hAnsi="仿宋" w:eastAsia="仿宋" w:cs="仿宋"/>
          <w:color w:val="000000"/>
          <w:sz w:val="32"/>
          <w:szCs w:val="32"/>
        </w:rPr>
        <w:sectPr>
          <w:footerReference r:id="rId25" w:type="first"/>
          <w:headerReference r:id="rId23" w:type="default"/>
          <w:footerReference r:id="rId24" w:type="default"/>
          <w:type w:val="continuous"/>
          <w:pgSz w:w="11900" w:h="16840"/>
          <w:pgMar w:top="1440" w:right="1600" w:bottom="1440" w:left="1600" w:header="0" w:footer="1440"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仿宋" w:hAnsi="仿宋" w:eastAsia="仿宋" w:cs="仿宋"/>
          <w:sz w:val="32"/>
          <w:szCs w:val="32"/>
        </w:rPr>
        <w:sectPr>
          <w:footerReference r:id="rId27" w:type="first"/>
          <w:footerReference r:id="rId26" w:type="default"/>
          <w:pgSz w:w="11900" w:h="16840"/>
          <w:pgMar w:top="1440" w:right="1600" w:bottom="1440" w:left="1600" w:header="0" w:footer="1440" w:gutter="0"/>
          <w:pgNumType w:fmt="decimal"/>
          <w:cols w:space="720" w:num="1"/>
          <w:titlePg/>
          <w:docGrid w:type="lines" w:linePitch="312" w:charSpace="0"/>
        </w:sectPr>
      </w:pPr>
      <w:r>
        <w:rPr>
          <w:rFonts w:hint="eastAsia" w:ascii="仿宋" w:hAnsi="仿宋" w:eastAsia="仿宋" w:cs="仿宋"/>
          <w:color w:val="000000"/>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sectPr>
      <w:footerReference r:id="rId28" w:type="default"/>
      <w:type w:val="continuous"/>
      <w:pgSz w:w="11900" w:h="16840"/>
      <w:pgMar w:top="1440" w:right="1600" w:bottom="1440" w:left="1600" w:header="0" w:footer="144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9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9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500" w:firstLineChars="2500"/>
      <w:rPr>
        <w:rFonts w:hint="eastAsia" w:eastAsia="宋体"/>
        <w:lang w:val="en-US" w:eastAsia="zh-CN"/>
      </w:rPr>
    </w:pPr>
    <w:r>
      <w:rPr>
        <w:rFonts w:hint="eastAsia"/>
        <w:lang w:val="en-US" w:eastAsia="zh-CN"/>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color w:val="000000"/>
        <w:sz w:val="20"/>
      </w:rPr>
      <w:t>第8页共13页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color w:val="000000"/>
        <w:sz w:val="22"/>
      </w:rPr>
      <w:t>第11页共13页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rPr>
        <w:rFonts w:hint="eastAsia" w:eastAsia="宋体"/>
        <w:lang w:val="en-US" w:eastAsia="zh-CN"/>
      </w:rPr>
    </w:pPr>
    <w:r>
      <w:rPr>
        <w:rFonts w:hint="eastAsia"/>
        <w:lang w:val="en-US" w:eastAsia="zh-CN"/>
      </w:rPr>
      <w:t>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320" w:firstLineChars="2400"/>
      <w:rPr>
        <w:rFonts w:hint="eastAsia" w:eastAsia="宋体"/>
        <w:lang w:val="en-US" w:eastAsia="zh-CN"/>
      </w:rPr>
    </w:pPr>
    <w:r>
      <w:rPr>
        <w:rFonts w:hint="eastAsia"/>
        <w:lang w:val="en-US" w:eastAsia="zh-CN"/>
      </w:rPr>
      <w:t>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eastAsia"/>
        <w:lang w:val="en-US" w:eastAsia="zh-C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140" w:firstLineChars="2300"/>
      <w:rPr>
        <w:rFonts w:hint="default" w:eastAsia="宋体"/>
        <w:lang w:val="en-US" w:eastAsia="zh-CN"/>
      </w:rPr>
    </w:pPr>
    <w:r>
      <w:rPr>
        <w:rFonts w:hint="eastAsia"/>
        <w:lang w:val="en-US" w:eastAsia="zh-CN"/>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0"/>
        <w:tab w:val="clear" w:pos="4153"/>
      </w:tabs>
      <w:ind w:firstLine="4140" w:firstLineChars="2300"/>
      <w:rPr>
        <w:rFonts w:hint="default" w:eastAsia="宋体"/>
        <w:lang w:val="en-US" w:eastAsia="zh-CN"/>
      </w:rPr>
    </w:pPr>
    <w:r>
      <w:rPr>
        <w:rFonts w:hint="eastAsia"/>
        <w:lang w:val="en-US" w:eastAsia="zh-CN"/>
      </w:rPr>
      <w:t>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rPr>
        <w:rFonts w:hint="eastAsia" w:eastAsia="宋体"/>
        <w:lang w:val="en-US" w:eastAsia="zh-CN"/>
      </w:rPr>
    </w:pPr>
    <w:r>
      <w:rPr>
        <w:rFonts w:hint="eastAsia"/>
        <w:lang w:val="en-US" w:eastAsia="zh-CN"/>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C7542"/>
    <w:multiLevelType w:val="singleLevel"/>
    <w:tmpl w:val="999C7542"/>
    <w:lvl w:ilvl="0" w:tentative="0">
      <w:start w:val="1"/>
      <w:numFmt w:val="chineseCounting"/>
      <w:lvlText w:val="第%1部分"/>
      <w:lvlJc w:val="left"/>
      <w:rPr>
        <w:rFonts w:hint="eastAsia"/>
      </w:rPr>
    </w:lvl>
  </w:abstractNum>
  <w:abstractNum w:abstractNumId="1">
    <w:nsid w:val="452BEAB7"/>
    <w:multiLevelType w:val="singleLevel"/>
    <w:tmpl w:val="452BEAB7"/>
    <w:lvl w:ilvl="0" w:tentative="0">
      <w:start w:val="1"/>
      <w:numFmt w:val="chineseCounting"/>
      <w:suff w:val="nothing"/>
      <w:lvlText w:val="%1、"/>
      <w:lvlJc w:val="left"/>
      <w:rPr>
        <w:rFonts w:hint="eastAsia"/>
      </w:rPr>
    </w:lvl>
  </w:abstractNum>
  <w:abstractNum w:abstractNumId="2">
    <w:nsid w:val="7563894E"/>
    <w:multiLevelType w:val="singleLevel"/>
    <w:tmpl w:val="7563894E"/>
    <w:lvl w:ilvl="0" w:tentative="0">
      <w:start w:val="1"/>
      <w:numFmt w:val="chineseCounting"/>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kOWJmODY0NWNkMWM4NWJhODIwZGIwNzY3ZWQ1MGMifQ=="/>
  </w:docVars>
  <w:rsids>
    <w:rsidRoot w:val="00BD0BC8"/>
    <w:rsid w:val="000D6051"/>
    <w:rsid w:val="009F0BE0"/>
    <w:rsid w:val="00BA6D97"/>
    <w:rsid w:val="00BD0BC8"/>
    <w:rsid w:val="27444631"/>
    <w:rsid w:val="3CF015D8"/>
    <w:rsid w:val="451F6D8C"/>
    <w:rsid w:val="453A1F61"/>
    <w:rsid w:val="5A3B2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theme" Target="theme/theme1.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header" Target="header4.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2171</Words>
  <Characters>2376</Characters>
  <TotalTime>3</TotalTime>
  <ScaleCrop>false</ScaleCrop>
  <LinksUpToDate>false</LinksUpToDate>
  <CharactersWithSpaces>2440</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2022-09-01T08:09:05Z</dcterms:created>
  <dc:creator>openxml-sdk </dc:creator>
  <dc:description>openxml-sdk, CCi Textin Word Converter, JL</dc:description>
  <cp:keywords>CCi</cp:keywords>
  <cp:lastModifiedBy>柴晶</cp:lastModifiedBy>
  <dcterms:modified xsi:type="dcterms:W3CDTF">2022-09-01T08:53:07Z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BDEFF15BD6FB4D68A5D4E1FBF38D9517</vt:lpwstr>
  </property>
</Properties>
</file>